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A165" w14:textId="77777777" w:rsidR="00D42182" w:rsidRDefault="00CD735C">
      <w:pPr>
        <w:pStyle w:val="Heading1"/>
        <w:spacing w:before="59" w:line="299" w:lineRule="exact"/>
      </w:pPr>
      <w:r>
        <w:t>UTHealth McGovern Medical School Faculty Senate</w:t>
      </w:r>
    </w:p>
    <w:p w14:paraId="1E139269" w14:textId="77777777" w:rsidR="00D42182" w:rsidRDefault="00CD735C" w:rsidP="00231851">
      <w:pPr>
        <w:ind w:left="2970" w:right="2290"/>
        <w:jc w:val="center"/>
        <w:rPr>
          <w:sz w:val="26"/>
        </w:rPr>
      </w:pPr>
      <w:r>
        <w:rPr>
          <w:sz w:val="26"/>
        </w:rPr>
        <w:t xml:space="preserve">Thursday, </w:t>
      </w:r>
      <w:r w:rsidR="00284F5B">
        <w:rPr>
          <w:sz w:val="26"/>
        </w:rPr>
        <w:t>February</w:t>
      </w:r>
      <w:r>
        <w:rPr>
          <w:sz w:val="26"/>
        </w:rPr>
        <w:t xml:space="preserve"> </w:t>
      </w:r>
      <w:r w:rsidR="00284F5B">
        <w:rPr>
          <w:sz w:val="26"/>
        </w:rPr>
        <w:t>17</w:t>
      </w:r>
      <w:r>
        <w:rPr>
          <w:sz w:val="26"/>
        </w:rPr>
        <w:t>, 202</w:t>
      </w:r>
      <w:r w:rsidR="003F3A89">
        <w:rPr>
          <w:sz w:val="26"/>
        </w:rPr>
        <w:t>2</w:t>
      </w:r>
      <w:r>
        <w:rPr>
          <w:sz w:val="26"/>
        </w:rPr>
        <w:t xml:space="preserve"> </w:t>
      </w:r>
      <w:r>
        <w:rPr>
          <w:rFonts w:ascii="Cambria" w:hAnsi="Cambria"/>
          <w:sz w:val="26"/>
        </w:rPr>
        <w:t xml:space="preserve">∣ </w:t>
      </w:r>
      <w:bookmarkStart w:id="0" w:name="_GoBack"/>
      <w:r>
        <w:rPr>
          <w:sz w:val="26"/>
        </w:rPr>
        <w:t xml:space="preserve">4:30 pm </w:t>
      </w:r>
      <w:bookmarkEnd w:id="0"/>
      <w:r>
        <w:rPr>
          <w:sz w:val="26"/>
        </w:rPr>
        <w:t>W</w:t>
      </w:r>
      <w:r w:rsidR="003F3A89">
        <w:rPr>
          <w:sz w:val="26"/>
        </w:rPr>
        <w:t>ebEx</w:t>
      </w:r>
      <w:r>
        <w:rPr>
          <w:sz w:val="26"/>
        </w:rPr>
        <w:t xml:space="preserve"> Meeting</w:t>
      </w:r>
    </w:p>
    <w:p w14:paraId="6FE47D24" w14:textId="77777777" w:rsidR="00D42182" w:rsidRDefault="00D42182">
      <w:pPr>
        <w:pStyle w:val="BodyText"/>
        <w:rPr>
          <w:sz w:val="26"/>
        </w:rPr>
      </w:pPr>
    </w:p>
    <w:p w14:paraId="2BA1B45B" w14:textId="77777777" w:rsidR="00D42182" w:rsidRDefault="00CD735C">
      <w:pPr>
        <w:pStyle w:val="Heading1"/>
      </w:pPr>
      <w:r>
        <w:t>AGENDA</w:t>
      </w:r>
    </w:p>
    <w:p w14:paraId="7590DEA6" w14:textId="77777777" w:rsidR="00D42182" w:rsidRDefault="00D42182">
      <w:pPr>
        <w:pStyle w:val="BodyText"/>
        <w:rPr>
          <w:b/>
          <w:sz w:val="20"/>
        </w:rPr>
      </w:pPr>
    </w:p>
    <w:p w14:paraId="51BA6D1B" w14:textId="77777777" w:rsidR="00D42182" w:rsidRDefault="00D42182">
      <w:pPr>
        <w:pStyle w:val="BodyText"/>
        <w:rPr>
          <w:b/>
          <w:sz w:val="20"/>
        </w:rPr>
      </w:pPr>
    </w:p>
    <w:p w14:paraId="77F886BD" w14:textId="77777777" w:rsidR="00D42182" w:rsidRDefault="00D42182">
      <w:pPr>
        <w:pStyle w:val="BodyText"/>
        <w:spacing w:before="1"/>
        <w:rPr>
          <w:b/>
          <w:sz w:val="23"/>
        </w:rPr>
      </w:pPr>
    </w:p>
    <w:p w14:paraId="1455EA03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Introduction</w:t>
      </w:r>
    </w:p>
    <w:p w14:paraId="3EFF378D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="004B688E">
        <w:rPr>
          <w:sz w:val="24"/>
        </w:rPr>
        <w:t xml:space="preserve">: </w:t>
      </w:r>
      <w:r w:rsidR="00FF3AB8">
        <w:rPr>
          <w:sz w:val="24"/>
        </w:rPr>
        <w:t>4:30 pm</w:t>
      </w:r>
    </w:p>
    <w:p w14:paraId="6002FA7B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Housekeeping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</w:p>
    <w:p w14:paraId="6D502DDA" w14:textId="77777777" w:rsidR="00D42182" w:rsidRDefault="00D42182">
      <w:pPr>
        <w:pStyle w:val="BodyText"/>
        <w:spacing w:before="10"/>
        <w:rPr>
          <w:sz w:val="25"/>
        </w:rPr>
      </w:pPr>
    </w:p>
    <w:p w14:paraId="37FBF6FC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Approval of Minutes – </w:t>
      </w:r>
      <w:r w:rsidR="00284F5B"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84F5B">
        <w:rPr>
          <w:sz w:val="24"/>
        </w:rPr>
        <w:t>2</w:t>
      </w:r>
    </w:p>
    <w:p w14:paraId="583F05E0" w14:textId="77777777" w:rsidR="00D42182" w:rsidRDefault="006C57C2" w:rsidP="006C57C2">
      <w:pPr>
        <w:pStyle w:val="BodyText"/>
        <w:spacing w:before="9"/>
        <w:ind w:left="460"/>
        <w:rPr>
          <w:sz w:val="27"/>
        </w:rPr>
      </w:pPr>
      <w:r>
        <w:rPr>
          <w:sz w:val="27"/>
        </w:rPr>
        <w:t>Minutes were approved as submitted.</w:t>
      </w:r>
    </w:p>
    <w:p w14:paraId="04D14489" w14:textId="77777777" w:rsidR="006C57C2" w:rsidRDefault="006C57C2" w:rsidP="00231851">
      <w:pPr>
        <w:pStyle w:val="BodyText"/>
        <w:spacing w:before="9"/>
        <w:ind w:left="460"/>
        <w:rPr>
          <w:sz w:val="27"/>
        </w:rPr>
      </w:pPr>
    </w:p>
    <w:p w14:paraId="6B3EED4B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Reports</w:t>
      </w:r>
    </w:p>
    <w:p w14:paraId="682258EB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Faculty Affairs update – Dr. Kevin</w:t>
      </w:r>
      <w:r>
        <w:rPr>
          <w:spacing w:val="-6"/>
          <w:sz w:val="24"/>
        </w:rPr>
        <w:t xml:space="preserve"> </w:t>
      </w:r>
      <w:r>
        <w:rPr>
          <w:sz w:val="24"/>
        </w:rPr>
        <w:t>Morano</w:t>
      </w:r>
      <w:r w:rsidR="004B688E">
        <w:rPr>
          <w:sz w:val="24"/>
        </w:rPr>
        <w:t>: COVID updates</w:t>
      </w:r>
    </w:p>
    <w:p w14:paraId="08BA272F" w14:textId="77777777" w:rsidR="004B688E" w:rsidRDefault="004B688E" w:rsidP="004B688E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Employee Health reports of total employees positive for COVID-19 and self-reported location of exposure by week showing a decrease in trajectory.</w:t>
      </w:r>
    </w:p>
    <w:p w14:paraId="687DFA8E" w14:textId="77777777" w:rsidR="004B688E" w:rsidRDefault="004B688E" w:rsidP="004B688E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Dean search showing progress, may have </w:t>
      </w:r>
      <w:r w:rsidR="00CB3578">
        <w:rPr>
          <w:sz w:val="24"/>
        </w:rPr>
        <w:t xml:space="preserve">an </w:t>
      </w:r>
      <w:r>
        <w:rPr>
          <w:sz w:val="24"/>
        </w:rPr>
        <w:t xml:space="preserve">announcement by next Faculty Senate Meeting. </w:t>
      </w:r>
    </w:p>
    <w:p w14:paraId="44021A8A" w14:textId="77777777" w:rsidR="004B688E" w:rsidRDefault="00284F5B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CME at UTHealth </w:t>
      </w:r>
      <w:r w:rsidR="00CE3A1A">
        <w:rPr>
          <w:sz w:val="24"/>
        </w:rPr>
        <w:t xml:space="preserve">- </w:t>
      </w:r>
      <w:r w:rsidR="00CE3A1A" w:rsidRPr="003F3A89">
        <w:rPr>
          <w:sz w:val="24"/>
        </w:rPr>
        <w:t xml:space="preserve">Dr. </w:t>
      </w:r>
      <w:r w:rsidR="00CE3A1A">
        <w:rPr>
          <w:sz w:val="24"/>
        </w:rPr>
        <w:t xml:space="preserve">Zi Jiang, Chair </w:t>
      </w:r>
    </w:p>
    <w:p w14:paraId="1FC0EAC4" w14:textId="77777777" w:rsidR="003F3A89" w:rsidRDefault="001A0408" w:rsidP="001A040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Website https://med.uth.edu/cme/</w:t>
      </w:r>
      <w:r w:rsidR="00CD735C" w:rsidRPr="003F3A89">
        <w:rPr>
          <w:sz w:val="24"/>
        </w:rPr>
        <w:t xml:space="preserve"> </w:t>
      </w:r>
    </w:p>
    <w:p w14:paraId="46FB1162" w14:textId="77777777" w:rsidR="001A0408" w:rsidRDefault="001A0408" w:rsidP="001A040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On March 1, 2022 plan to have all activities on the McGovern Medical School CME site</w:t>
      </w:r>
    </w:p>
    <w:p w14:paraId="28D6AE93" w14:textId="77777777" w:rsidR="001A0408" w:rsidRDefault="00B1395E" w:rsidP="001A040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hyperlink r:id="rId6" w:history="1">
        <w:r w:rsidR="001A0408" w:rsidRPr="00065156">
          <w:rPr>
            <w:rStyle w:val="Hyperlink"/>
            <w:sz w:val="24"/>
          </w:rPr>
          <w:t>https://go.uth.edu/cme23</w:t>
        </w:r>
      </w:hyperlink>
      <w:r w:rsidR="001A0408">
        <w:rPr>
          <w:sz w:val="24"/>
        </w:rPr>
        <w:t xml:space="preserve"> is </w:t>
      </w:r>
      <w:r w:rsidR="00CB3578">
        <w:rPr>
          <w:sz w:val="24"/>
        </w:rPr>
        <w:t xml:space="preserve">the </w:t>
      </w:r>
      <w:r w:rsidR="001A0408">
        <w:rPr>
          <w:sz w:val="24"/>
        </w:rPr>
        <w:t>website for getting CME activity for your department</w:t>
      </w:r>
    </w:p>
    <w:p w14:paraId="4EF40C4D" w14:textId="77777777" w:rsidR="001A0408" w:rsidRDefault="001A0408" w:rsidP="001A040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Types of CME</w:t>
      </w:r>
    </w:p>
    <w:p w14:paraId="0388CA15" w14:textId="77777777" w:rsidR="000336EA" w:rsidRPr="00D2610A" w:rsidRDefault="00EF78C2" w:rsidP="00D2610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D2610A">
        <w:rPr>
          <w:sz w:val="24"/>
        </w:rPr>
        <w:t>Regularly Scheduled Series (RSS)</w:t>
      </w:r>
      <w:r w:rsidR="00D2610A">
        <w:rPr>
          <w:sz w:val="24"/>
        </w:rPr>
        <w:t>: G</w:t>
      </w:r>
      <w:r w:rsidRPr="00D2610A">
        <w:rPr>
          <w:sz w:val="24"/>
        </w:rPr>
        <w:t>rand Rounds, Weekly/Monthly Conferences</w:t>
      </w:r>
    </w:p>
    <w:p w14:paraId="31BD2E85" w14:textId="6E041BE9" w:rsidR="000336EA" w:rsidRPr="00D2610A" w:rsidRDefault="00EF78C2" w:rsidP="00D2610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D2610A">
        <w:rPr>
          <w:sz w:val="24"/>
        </w:rPr>
        <w:t>Symposiums</w:t>
      </w:r>
      <w:r w:rsidR="00D2610A">
        <w:rPr>
          <w:sz w:val="24"/>
        </w:rPr>
        <w:t xml:space="preserve">: </w:t>
      </w:r>
      <w:r w:rsidRPr="00D2610A">
        <w:rPr>
          <w:sz w:val="24"/>
        </w:rPr>
        <w:t>Symposium with Breakout Sessions, Multi-day Symposium, Day-Long Meeting with Pre-lunch and Post-lunch Sessions.</w:t>
      </w:r>
    </w:p>
    <w:p w14:paraId="41AE6235" w14:textId="20165399" w:rsidR="000336EA" w:rsidRPr="00D2610A" w:rsidRDefault="00EF78C2" w:rsidP="00D2610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D2610A">
        <w:rPr>
          <w:sz w:val="24"/>
        </w:rPr>
        <w:t xml:space="preserve">Enduring </w:t>
      </w:r>
      <w:r w:rsidR="00D2610A" w:rsidRPr="00D2610A">
        <w:rPr>
          <w:sz w:val="24"/>
        </w:rPr>
        <w:t>Materials</w:t>
      </w:r>
      <w:r w:rsidR="00D2610A">
        <w:rPr>
          <w:sz w:val="24"/>
        </w:rPr>
        <w:t>:</w:t>
      </w:r>
      <w:r w:rsidR="00D2610A" w:rsidRPr="00D2610A">
        <w:rPr>
          <w:sz w:val="24"/>
        </w:rPr>
        <w:t xml:space="preserve"> Videos</w:t>
      </w:r>
      <w:r w:rsidRPr="00D2610A">
        <w:rPr>
          <w:sz w:val="24"/>
        </w:rPr>
        <w:t xml:space="preserve">, presentations, or reading materials </w:t>
      </w:r>
      <w:r w:rsidR="006C57C2">
        <w:rPr>
          <w:sz w:val="24"/>
        </w:rPr>
        <w:t>for</w:t>
      </w:r>
      <w:r w:rsidR="006C57C2" w:rsidRPr="00D2610A">
        <w:rPr>
          <w:sz w:val="24"/>
        </w:rPr>
        <w:t xml:space="preserve"> </w:t>
      </w:r>
      <w:r w:rsidRPr="00D2610A">
        <w:rPr>
          <w:sz w:val="24"/>
        </w:rPr>
        <w:t xml:space="preserve">which the participant can receive AMA Category 1 credit </w:t>
      </w:r>
      <w:r w:rsidR="00BE3897">
        <w:rPr>
          <w:sz w:val="24"/>
        </w:rPr>
        <w:t>with</w:t>
      </w:r>
      <w:r w:rsidR="00BE3897" w:rsidRPr="00D2610A">
        <w:rPr>
          <w:sz w:val="24"/>
        </w:rPr>
        <w:t xml:space="preserve"> </w:t>
      </w:r>
      <w:r w:rsidRPr="00D2610A">
        <w:rPr>
          <w:sz w:val="24"/>
        </w:rPr>
        <w:t xml:space="preserve">successful </w:t>
      </w:r>
      <w:r w:rsidR="006C57C2" w:rsidRPr="00D2610A">
        <w:rPr>
          <w:sz w:val="24"/>
        </w:rPr>
        <w:t>complet</w:t>
      </w:r>
      <w:r w:rsidR="006C57C2">
        <w:rPr>
          <w:sz w:val="24"/>
        </w:rPr>
        <w:t>ion</w:t>
      </w:r>
    </w:p>
    <w:p w14:paraId="59FA6671" w14:textId="77777777" w:rsidR="000336EA" w:rsidRPr="00D2610A" w:rsidRDefault="00EF78C2" w:rsidP="00D2610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D2610A">
        <w:rPr>
          <w:sz w:val="24"/>
        </w:rPr>
        <w:t>Short Course</w:t>
      </w:r>
      <w:r w:rsidR="00D2610A">
        <w:rPr>
          <w:sz w:val="24"/>
        </w:rPr>
        <w:t xml:space="preserve">: </w:t>
      </w:r>
      <w:r w:rsidRPr="00D2610A">
        <w:rPr>
          <w:sz w:val="24"/>
        </w:rPr>
        <w:t>Physician Training Courses. This choice is best when you have an event with the exact same content which happens on a recurring basis</w:t>
      </w:r>
    </w:p>
    <w:p w14:paraId="7638D90F" w14:textId="77777777" w:rsidR="00D42182" w:rsidRDefault="00CD735C" w:rsidP="00D2610A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 w:rsidRPr="003F3A89">
        <w:rPr>
          <w:sz w:val="24"/>
        </w:rPr>
        <w:t>Interfaculty Council update – Dr. Georgene</w:t>
      </w:r>
      <w:r w:rsidRPr="003F3A89">
        <w:rPr>
          <w:spacing w:val="-5"/>
          <w:sz w:val="24"/>
        </w:rPr>
        <w:t xml:space="preserve"> </w:t>
      </w:r>
      <w:r w:rsidRPr="003F3A89">
        <w:rPr>
          <w:sz w:val="24"/>
        </w:rPr>
        <w:t>Hergenroeder</w:t>
      </w:r>
    </w:p>
    <w:p w14:paraId="7DEC16BF" w14:textId="77777777" w:rsidR="00764D07" w:rsidRDefault="00764D07" w:rsidP="00764D07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UTHealth Public Affairs Office</w:t>
      </w:r>
    </w:p>
    <w:p w14:paraId="653198CB" w14:textId="77777777" w:rsidR="000336EA" w:rsidRPr="00764D07" w:rsidRDefault="00EF78C2" w:rsidP="00764D07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764D07">
        <w:rPr>
          <w:sz w:val="24"/>
        </w:rPr>
        <w:t>Ms. Meredith Raine, Assistant Vice President;</w:t>
      </w:r>
    </w:p>
    <w:p w14:paraId="3ABF83E1" w14:textId="77777777" w:rsidR="00CB3578" w:rsidRDefault="00EF78C2" w:rsidP="00554EFC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CB3578">
        <w:rPr>
          <w:sz w:val="24"/>
        </w:rPr>
        <w:t xml:space="preserve">Ms. Deborah Lake, Director, Media Relations </w:t>
      </w:r>
    </w:p>
    <w:p w14:paraId="60332A4D" w14:textId="1E0DA9B9" w:rsidR="000336EA" w:rsidRPr="00CB3578" w:rsidRDefault="00EF78C2" w:rsidP="00554EFC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CB3578">
        <w:rPr>
          <w:sz w:val="24"/>
        </w:rPr>
        <w:t xml:space="preserve">Ms. Lauren Mathews, Director of Branding and Creative Services – </w:t>
      </w:r>
      <w:r w:rsidR="006C57C2">
        <w:rPr>
          <w:sz w:val="24"/>
        </w:rPr>
        <w:t>S</w:t>
      </w:r>
      <w:r w:rsidR="006C57C2" w:rsidRPr="00CB3578">
        <w:rPr>
          <w:sz w:val="24"/>
        </w:rPr>
        <w:t xml:space="preserve">tandards </w:t>
      </w:r>
      <w:r w:rsidRPr="00CB3578">
        <w:rPr>
          <w:sz w:val="24"/>
        </w:rPr>
        <w:t>&amp; branding – new logos, etc.</w:t>
      </w:r>
    </w:p>
    <w:p w14:paraId="25EAA477" w14:textId="77777777" w:rsidR="00335FAD" w:rsidRPr="00764D07" w:rsidRDefault="00335FAD" w:rsidP="00764D07">
      <w:pPr>
        <w:pStyle w:val="ListParagraph"/>
        <w:numPr>
          <w:ilvl w:val="4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764D07" w:rsidRPr="00162C59">
          <w:rPr>
            <w:rStyle w:val="Hyperlink"/>
            <w:sz w:val="24"/>
          </w:rPr>
          <w:t>https://www.uth.edu/brand-standards/toolbox/</w:t>
        </w:r>
      </w:hyperlink>
    </w:p>
    <w:p w14:paraId="35B43090" w14:textId="5D60908A" w:rsidR="00335FAD" w:rsidRDefault="00335FAD" w:rsidP="00335FAD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UTHealth Benefits</w:t>
      </w:r>
      <w:r w:rsidR="00A930AB">
        <w:rPr>
          <w:sz w:val="24"/>
        </w:rPr>
        <w:t xml:space="preserve"> Office personnel:</w:t>
      </w:r>
    </w:p>
    <w:p w14:paraId="5CB7DB27" w14:textId="77777777" w:rsidR="000336EA" w:rsidRPr="00764D07" w:rsidRDefault="00EF78C2" w:rsidP="00764D07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764D07">
        <w:rPr>
          <w:sz w:val="24"/>
        </w:rPr>
        <w:t>Ms. Patricia Hinojosa, Director, Payroll &amp; Benefits – Family Leave Pool</w:t>
      </w:r>
    </w:p>
    <w:p w14:paraId="145F5504" w14:textId="0D34CD57" w:rsidR="000336EA" w:rsidRPr="00764D07" w:rsidRDefault="00EF78C2" w:rsidP="00764D07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764D07">
        <w:rPr>
          <w:sz w:val="24"/>
        </w:rPr>
        <w:t>Mr. Michael Tramonte, Senior VP, Finance &amp; Business Services and CFO</w:t>
      </w:r>
      <w:r w:rsidR="00764D07">
        <w:rPr>
          <w:sz w:val="24"/>
        </w:rPr>
        <w:t>-</w:t>
      </w:r>
      <w:r w:rsidR="006C57C2">
        <w:rPr>
          <w:sz w:val="24"/>
        </w:rPr>
        <w:t>-</w:t>
      </w:r>
      <w:r w:rsidR="00764D07">
        <w:rPr>
          <w:sz w:val="24"/>
        </w:rPr>
        <w:t xml:space="preserve"> BC/BS &amp; MHHS in negotiations </w:t>
      </w:r>
    </w:p>
    <w:p w14:paraId="284D38DF" w14:textId="3DB63FBF" w:rsidR="000336EA" w:rsidRPr="00764D07" w:rsidRDefault="00EF78C2" w:rsidP="00764D07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764D07">
        <w:rPr>
          <w:sz w:val="24"/>
        </w:rPr>
        <w:lastRenderedPageBreak/>
        <w:t>Mr. Andrew Casas, Senior VP, UTHealth and COO</w:t>
      </w:r>
      <w:r w:rsidR="006C57C2">
        <w:rPr>
          <w:sz w:val="24"/>
        </w:rPr>
        <w:t xml:space="preserve"> --</w:t>
      </w:r>
      <w:r w:rsidRPr="00764D07">
        <w:rPr>
          <w:sz w:val="24"/>
        </w:rPr>
        <w:t xml:space="preserve"> Practice Plan</w:t>
      </w:r>
    </w:p>
    <w:p w14:paraId="358B8241" w14:textId="77777777" w:rsidR="000336EA" w:rsidRPr="00764D07" w:rsidRDefault="00EF78C2" w:rsidP="00764D07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764D07">
        <w:rPr>
          <w:sz w:val="24"/>
        </w:rPr>
        <w:t>Ms. Laura Chambers, Executive Director, Employee Benefits</w:t>
      </w:r>
    </w:p>
    <w:p w14:paraId="4410B6C7" w14:textId="77777777" w:rsidR="00D42182" w:rsidRDefault="00D42182">
      <w:pPr>
        <w:pStyle w:val="BodyText"/>
        <w:spacing w:before="10"/>
        <w:rPr>
          <w:sz w:val="27"/>
        </w:rPr>
      </w:pPr>
    </w:p>
    <w:p w14:paraId="5040CEDA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614C63E0" w14:textId="77777777" w:rsidR="00D42182" w:rsidRDefault="00CD735C" w:rsidP="00764D07">
      <w:pPr>
        <w:pStyle w:val="BodyText"/>
        <w:numPr>
          <w:ilvl w:val="1"/>
          <w:numId w:val="1"/>
        </w:numPr>
        <w:spacing w:before="21"/>
      </w:pPr>
      <w:r>
        <w:t xml:space="preserve">Mental Health Support Taskforce – Dr. </w:t>
      </w:r>
      <w:r w:rsidR="000A5BC3">
        <w:t xml:space="preserve">Nahid Rianon (on behalf of Dr. </w:t>
      </w:r>
      <w:r w:rsidR="003F3A89">
        <w:t>Stacy Norrell</w:t>
      </w:r>
      <w:r w:rsidR="000A5BC3">
        <w:t>)</w:t>
      </w:r>
    </w:p>
    <w:p w14:paraId="4AA06AAE" w14:textId="23F8E042" w:rsidR="00764D07" w:rsidRDefault="00764D07" w:rsidP="00764D07">
      <w:pPr>
        <w:pStyle w:val="BodyText"/>
        <w:numPr>
          <w:ilvl w:val="2"/>
          <w:numId w:val="1"/>
        </w:numPr>
        <w:spacing w:before="21"/>
      </w:pPr>
      <w:r>
        <w:t xml:space="preserve">Find out if each </w:t>
      </w:r>
      <w:r w:rsidR="000A5BC3">
        <w:t>department</w:t>
      </w:r>
      <w:r>
        <w:t xml:space="preserve"> has mental health support in place, will follow up in March</w:t>
      </w:r>
    </w:p>
    <w:p w14:paraId="07297B0B" w14:textId="77777777" w:rsidR="00D42182" w:rsidRDefault="00D42182">
      <w:pPr>
        <w:pStyle w:val="BodyText"/>
        <w:spacing w:before="9"/>
        <w:rPr>
          <w:sz w:val="27"/>
        </w:rPr>
      </w:pPr>
    </w:p>
    <w:p w14:paraId="4901E619" w14:textId="1DC01C2B" w:rsidR="00BE3897" w:rsidRDefault="00284F5B" w:rsidP="00284F5B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New Business</w:t>
      </w:r>
      <w:r w:rsidR="003F3A89" w:rsidRPr="00284F5B">
        <w:rPr>
          <w:sz w:val="24"/>
        </w:rPr>
        <w:t xml:space="preserve"> – </w:t>
      </w:r>
      <w:r>
        <w:rPr>
          <w:sz w:val="24"/>
        </w:rPr>
        <w:t xml:space="preserve">Faculty salary/compensation </w:t>
      </w:r>
      <w:r w:rsidR="00BB58D5">
        <w:rPr>
          <w:sz w:val="24"/>
        </w:rPr>
        <w:t xml:space="preserve">structure </w:t>
      </w:r>
      <w:r>
        <w:rPr>
          <w:sz w:val="24"/>
        </w:rPr>
        <w:t xml:space="preserve">at McGovern Medical School – </w:t>
      </w:r>
    </w:p>
    <w:p w14:paraId="5D6202B3" w14:textId="61912960" w:rsidR="00D42182" w:rsidRDefault="000A5BC3" w:rsidP="00231851">
      <w:pPr>
        <w:pStyle w:val="ListParagraph"/>
        <w:tabs>
          <w:tab w:val="left" w:pos="460"/>
        </w:tabs>
        <w:ind w:left="460" w:firstLine="0"/>
        <w:rPr>
          <w:sz w:val="24"/>
        </w:rPr>
      </w:pPr>
      <w:r>
        <w:rPr>
          <w:sz w:val="24"/>
        </w:rPr>
        <w:t>Dr. Nancy McNiel</w:t>
      </w:r>
      <w:r w:rsidR="00284F5B">
        <w:rPr>
          <w:sz w:val="24"/>
        </w:rPr>
        <w:t xml:space="preserve">, </w:t>
      </w:r>
      <w:r>
        <w:rPr>
          <w:sz w:val="24"/>
        </w:rPr>
        <w:t xml:space="preserve">Senior Associate Dean </w:t>
      </w:r>
      <w:r w:rsidR="009C3E9A">
        <w:rPr>
          <w:sz w:val="24"/>
        </w:rPr>
        <w:t xml:space="preserve">for </w:t>
      </w:r>
      <w:r>
        <w:rPr>
          <w:sz w:val="24"/>
        </w:rPr>
        <w:t xml:space="preserve">Administrative </w:t>
      </w:r>
      <w:r w:rsidR="009C3E9A">
        <w:rPr>
          <w:sz w:val="24"/>
        </w:rPr>
        <w:t>Affairs</w:t>
      </w:r>
      <w:r w:rsidR="00284F5B">
        <w:rPr>
          <w:sz w:val="24"/>
        </w:rPr>
        <w:t>, MMS</w:t>
      </w:r>
    </w:p>
    <w:p w14:paraId="140E8597" w14:textId="24E88E76" w:rsidR="00D2610A" w:rsidRDefault="00D2610A" w:rsidP="00D2610A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Salaries for faculty are </w:t>
      </w:r>
      <w:r w:rsidR="009C3E9A">
        <w:rPr>
          <w:sz w:val="24"/>
        </w:rPr>
        <w:t>compared to</w:t>
      </w:r>
      <w:r w:rsidR="000A5BC3">
        <w:rPr>
          <w:sz w:val="24"/>
        </w:rPr>
        <w:t xml:space="preserve"> national benchmark</w:t>
      </w:r>
      <w:r w:rsidR="009C3E9A">
        <w:rPr>
          <w:sz w:val="24"/>
        </w:rPr>
        <w:t>s</w:t>
      </w:r>
      <w:r>
        <w:rPr>
          <w:sz w:val="24"/>
        </w:rPr>
        <w:t>:</w:t>
      </w:r>
    </w:p>
    <w:p w14:paraId="0C27AF4D" w14:textId="1A196039" w:rsidR="00764D07" w:rsidRDefault="00764D07" w:rsidP="00D2610A">
      <w:pPr>
        <w:pStyle w:val="ListParagraph"/>
        <w:numPr>
          <w:ilvl w:val="3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AAMC </w:t>
      </w:r>
      <w:r w:rsidR="009C3E9A">
        <w:rPr>
          <w:sz w:val="24"/>
        </w:rPr>
        <w:t xml:space="preserve">Faculty Compensation </w:t>
      </w:r>
      <w:r>
        <w:rPr>
          <w:sz w:val="24"/>
        </w:rPr>
        <w:t xml:space="preserve">Survey- </w:t>
      </w:r>
      <w:r w:rsidR="009C3E9A">
        <w:rPr>
          <w:sz w:val="24"/>
        </w:rPr>
        <w:t xml:space="preserve">for all academic departments </w:t>
      </w:r>
    </w:p>
    <w:p w14:paraId="697CCE59" w14:textId="5A8D296C" w:rsidR="00764D07" w:rsidRDefault="00764D07" w:rsidP="00D2610A">
      <w:pPr>
        <w:pStyle w:val="ListParagraph"/>
        <w:numPr>
          <w:ilvl w:val="3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MGMA for </w:t>
      </w:r>
      <w:r w:rsidR="009C3E9A">
        <w:rPr>
          <w:sz w:val="24"/>
        </w:rPr>
        <w:t xml:space="preserve">additional </w:t>
      </w:r>
      <w:r>
        <w:rPr>
          <w:sz w:val="24"/>
        </w:rPr>
        <w:t>clinic</w:t>
      </w:r>
      <w:r w:rsidR="009C3E9A">
        <w:rPr>
          <w:sz w:val="24"/>
        </w:rPr>
        <w:t>al subspecialty compensation benchmarks and for wRVU productivity standards</w:t>
      </w:r>
      <w:r>
        <w:rPr>
          <w:sz w:val="24"/>
        </w:rPr>
        <w:t xml:space="preserve"> </w:t>
      </w:r>
    </w:p>
    <w:p w14:paraId="74052111" w14:textId="2B3CFE61" w:rsidR="00764D07" w:rsidRDefault="009C3E9A" w:rsidP="00D2610A">
      <w:pPr>
        <w:pStyle w:val="ListParagraph"/>
        <w:numPr>
          <w:ilvl w:val="3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Academic </w:t>
      </w:r>
      <w:r w:rsidR="00BE3897">
        <w:rPr>
          <w:sz w:val="24"/>
        </w:rPr>
        <w:t>s</w:t>
      </w:r>
      <w:r w:rsidR="00764D07">
        <w:rPr>
          <w:sz w:val="24"/>
        </w:rPr>
        <w:t xml:space="preserve">pecialty </w:t>
      </w:r>
      <w:r w:rsidR="00BE3897">
        <w:rPr>
          <w:sz w:val="24"/>
        </w:rPr>
        <w:t>s</w:t>
      </w:r>
      <w:r>
        <w:rPr>
          <w:sz w:val="24"/>
        </w:rPr>
        <w:t xml:space="preserve">urveys </w:t>
      </w:r>
      <w:r w:rsidR="00764D07">
        <w:rPr>
          <w:sz w:val="24"/>
        </w:rPr>
        <w:t xml:space="preserve">for </w:t>
      </w:r>
      <w:r w:rsidR="00BE3897">
        <w:rPr>
          <w:sz w:val="24"/>
        </w:rPr>
        <w:t xml:space="preserve">individual departments’ </w:t>
      </w:r>
      <w:r w:rsidR="00764D07">
        <w:rPr>
          <w:sz w:val="24"/>
        </w:rPr>
        <w:t>own s</w:t>
      </w:r>
      <w:r w:rsidR="00CB3578">
        <w:rPr>
          <w:sz w:val="24"/>
        </w:rPr>
        <w:t>u</w:t>
      </w:r>
      <w:r w:rsidR="00764D07">
        <w:rPr>
          <w:sz w:val="24"/>
        </w:rPr>
        <w:t>rvey</w:t>
      </w:r>
      <w:r w:rsidR="00BE3897">
        <w:rPr>
          <w:sz w:val="24"/>
        </w:rPr>
        <w:t>s</w:t>
      </w:r>
      <w:r w:rsidR="00764D07">
        <w:rPr>
          <w:sz w:val="24"/>
        </w:rPr>
        <w:t xml:space="preserve"> for national benchmarks</w:t>
      </w:r>
    </w:p>
    <w:p w14:paraId="03D2893B" w14:textId="2CC57555" w:rsidR="00D2610A" w:rsidRDefault="009C3E9A" w:rsidP="00CB3578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E</w:t>
      </w:r>
      <w:r w:rsidR="00764D07">
        <w:rPr>
          <w:sz w:val="24"/>
        </w:rPr>
        <w:t>quity analys</w:t>
      </w:r>
      <w:r>
        <w:rPr>
          <w:sz w:val="24"/>
        </w:rPr>
        <w:t>es</w:t>
      </w:r>
      <w:r w:rsidR="00764D07">
        <w:rPr>
          <w:sz w:val="24"/>
        </w:rPr>
        <w:t xml:space="preserve"> </w:t>
      </w:r>
      <w:r>
        <w:rPr>
          <w:sz w:val="24"/>
        </w:rPr>
        <w:t xml:space="preserve">are </w:t>
      </w:r>
      <w:r w:rsidR="00764D07">
        <w:rPr>
          <w:sz w:val="24"/>
        </w:rPr>
        <w:t xml:space="preserve">done </w:t>
      </w:r>
      <w:r>
        <w:rPr>
          <w:sz w:val="24"/>
        </w:rPr>
        <w:t xml:space="preserve">to establish </w:t>
      </w:r>
      <w:r w:rsidR="00764D07">
        <w:rPr>
          <w:sz w:val="24"/>
        </w:rPr>
        <w:t>faculty salar</w:t>
      </w:r>
      <w:r>
        <w:rPr>
          <w:sz w:val="24"/>
        </w:rPr>
        <w:t>ies and to justify changes to compensation</w:t>
      </w:r>
      <w:r w:rsidR="00764D07">
        <w:rPr>
          <w:sz w:val="24"/>
        </w:rPr>
        <w:t xml:space="preserve">. </w:t>
      </w:r>
      <w:r>
        <w:rPr>
          <w:sz w:val="24"/>
        </w:rPr>
        <w:t xml:space="preserve">Analyzed by </w:t>
      </w:r>
      <w:r w:rsidR="00764D07">
        <w:rPr>
          <w:sz w:val="24"/>
        </w:rPr>
        <w:t>rank and specialty</w:t>
      </w:r>
      <w:r w:rsidR="006E76B9">
        <w:rPr>
          <w:sz w:val="24"/>
        </w:rPr>
        <w:t xml:space="preserve">, years of experience, </w:t>
      </w:r>
      <w:r>
        <w:rPr>
          <w:sz w:val="24"/>
        </w:rPr>
        <w:t xml:space="preserve">and </w:t>
      </w:r>
      <w:r w:rsidR="006E76B9">
        <w:rPr>
          <w:sz w:val="24"/>
        </w:rPr>
        <w:t>gender</w:t>
      </w:r>
      <w:r>
        <w:rPr>
          <w:sz w:val="24"/>
        </w:rPr>
        <w:t>.  I</w:t>
      </w:r>
      <w:r w:rsidR="00764D07">
        <w:rPr>
          <w:sz w:val="24"/>
        </w:rPr>
        <w:t>nternal data</w:t>
      </w:r>
      <w:r>
        <w:rPr>
          <w:sz w:val="24"/>
        </w:rPr>
        <w:t xml:space="preserve"> are utilized, with comparisons to external national benchmarks.</w:t>
      </w:r>
      <w:r w:rsidR="00764D07">
        <w:rPr>
          <w:sz w:val="24"/>
        </w:rPr>
        <w:t xml:space="preserve"> </w:t>
      </w:r>
    </w:p>
    <w:p w14:paraId="3EE7603E" w14:textId="2E32F853" w:rsidR="00764D07" w:rsidRDefault="00D2610A" w:rsidP="00D2610A">
      <w:pPr>
        <w:pStyle w:val="ListParagraph"/>
        <w:numPr>
          <w:ilvl w:val="3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Years of experience</w:t>
      </w:r>
      <w:r w:rsidR="00BE3897">
        <w:rPr>
          <w:sz w:val="24"/>
        </w:rPr>
        <w:t xml:space="preserve"> is</w:t>
      </w:r>
      <w:r>
        <w:rPr>
          <w:sz w:val="24"/>
        </w:rPr>
        <w:t xml:space="preserve"> based </w:t>
      </w:r>
      <w:r w:rsidR="006E76B9">
        <w:rPr>
          <w:sz w:val="24"/>
        </w:rPr>
        <w:t>on pos</w:t>
      </w:r>
      <w:r>
        <w:rPr>
          <w:sz w:val="24"/>
        </w:rPr>
        <w:t>t-</w:t>
      </w:r>
      <w:r w:rsidR="006E76B9">
        <w:rPr>
          <w:sz w:val="24"/>
        </w:rPr>
        <w:t>residency</w:t>
      </w:r>
      <w:r>
        <w:rPr>
          <w:sz w:val="24"/>
        </w:rPr>
        <w:t xml:space="preserve"> for clinical faculty</w:t>
      </w:r>
      <w:r w:rsidR="006E76B9">
        <w:rPr>
          <w:sz w:val="24"/>
        </w:rPr>
        <w:t xml:space="preserve"> </w:t>
      </w:r>
      <w:r>
        <w:rPr>
          <w:sz w:val="24"/>
        </w:rPr>
        <w:t xml:space="preserve">and </w:t>
      </w:r>
      <w:r w:rsidR="006E76B9">
        <w:rPr>
          <w:sz w:val="24"/>
        </w:rPr>
        <w:t>post</w:t>
      </w:r>
      <w:r>
        <w:rPr>
          <w:sz w:val="24"/>
        </w:rPr>
        <w:t>-doctorate for</w:t>
      </w:r>
      <w:r w:rsidR="006E76B9">
        <w:rPr>
          <w:sz w:val="24"/>
        </w:rPr>
        <w:t xml:space="preserve"> PhD</w:t>
      </w:r>
    </w:p>
    <w:p w14:paraId="4D64131F" w14:textId="4B99633D" w:rsidR="006E76B9" w:rsidRDefault="00BE3897" w:rsidP="006E76B9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Proposed changes in faculty c</w:t>
      </w:r>
      <w:r w:rsidR="00D2610A">
        <w:rPr>
          <w:sz w:val="24"/>
        </w:rPr>
        <w:t xml:space="preserve">ompensation </w:t>
      </w:r>
      <w:r>
        <w:rPr>
          <w:sz w:val="24"/>
        </w:rPr>
        <w:t>are</w:t>
      </w:r>
      <w:r w:rsidR="00D2610A">
        <w:rPr>
          <w:sz w:val="24"/>
        </w:rPr>
        <w:t xml:space="preserve"> included in </w:t>
      </w:r>
      <w:r w:rsidR="00982A14">
        <w:rPr>
          <w:sz w:val="24"/>
        </w:rPr>
        <w:t xml:space="preserve">the </w:t>
      </w:r>
      <w:r w:rsidR="009C3E9A">
        <w:rPr>
          <w:sz w:val="24"/>
        </w:rPr>
        <w:t xml:space="preserve">annual budget </w:t>
      </w:r>
      <w:r>
        <w:rPr>
          <w:sz w:val="24"/>
        </w:rPr>
        <w:t xml:space="preserve">meeting discussions and budget submissions </w:t>
      </w:r>
      <w:r w:rsidR="009C3E9A">
        <w:rPr>
          <w:sz w:val="24"/>
        </w:rPr>
        <w:t xml:space="preserve">for </w:t>
      </w:r>
      <w:r w:rsidR="00D2610A">
        <w:rPr>
          <w:sz w:val="24"/>
        </w:rPr>
        <w:t>individual</w:t>
      </w:r>
      <w:r w:rsidR="006E76B9">
        <w:rPr>
          <w:sz w:val="24"/>
        </w:rPr>
        <w:t xml:space="preserve"> department</w:t>
      </w:r>
      <w:r w:rsidR="00D2610A">
        <w:rPr>
          <w:sz w:val="24"/>
        </w:rPr>
        <w:t>s</w:t>
      </w:r>
    </w:p>
    <w:p w14:paraId="133E7BFC" w14:textId="51F1D1D3" w:rsidR="006E76B9" w:rsidRDefault="006E76B9" w:rsidP="006E76B9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Equity analysis</w:t>
      </w:r>
      <w:r w:rsidR="00982A14">
        <w:rPr>
          <w:sz w:val="24"/>
        </w:rPr>
        <w:t xml:space="preserve"> is </w:t>
      </w:r>
      <w:r w:rsidR="00BE3897">
        <w:rPr>
          <w:sz w:val="24"/>
        </w:rPr>
        <w:t xml:space="preserve">required </w:t>
      </w:r>
      <w:r w:rsidR="009C3E9A">
        <w:rPr>
          <w:sz w:val="24"/>
        </w:rPr>
        <w:t xml:space="preserve">when </w:t>
      </w:r>
      <w:r>
        <w:rPr>
          <w:sz w:val="24"/>
        </w:rPr>
        <w:t>equity adjustment</w:t>
      </w:r>
      <w:r w:rsidR="009C3E9A">
        <w:rPr>
          <w:sz w:val="24"/>
        </w:rPr>
        <w:t>s are</w:t>
      </w:r>
      <w:r>
        <w:rPr>
          <w:sz w:val="24"/>
        </w:rPr>
        <w:t xml:space="preserve"> requested</w:t>
      </w:r>
    </w:p>
    <w:p w14:paraId="5F271F5A" w14:textId="18C40914" w:rsidR="006E76B9" w:rsidRDefault="009C3E9A" w:rsidP="006E76B9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There is no requirement for, or specific amount of, compensation increases associated with promotion in rank.  Departments are expected to be consistent within the department for promotion</w:t>
      </w:r>
      <w:r w:rsidR="007F10C5">
        <w:rPr>
          <w:sz w:val="24"/>
        </w:rPr>
        <w:t>-related</w:t>
      </w:r>
      <w:r>
        <w:rPr>
          <w:sz w:val="24"/>
        </w:rPr>
        <w:t xml:space="preserve"> increases.</w:t>
      </w:r>
      <w:r w:rsidR="007F10C5">
        <w:rPr>
          <w:sz w:val="24"/>
        </w:rPr>
        <w:t xml:space="preserve"> </w:t>
      </w:r>
    </w:p>
    <w:p w14:paraId="18A30552" w14:textId="3D5BA809" w:rsidR="006E76B9" w:rsidRPr="007F10C5" w:rsidRDefault="007F10C5" w:rsidP="007F10C5">
      <w:pPr>
        <w:pStyle w:val="ListParagraph"/>
        <w:numPr>
          <w:ilvl w:val="2"/>
          <w:numId w:val="1"/>
        </w:numPr>
        <w:tabs>
          <w:tab w:val="left" w:pos="460"/>
        </w:tabs>
        <w:rPr>
          <w:sz w:val="24"/>
        </w:rPr>
      </w:pPr>
      <w:r w:rsidRPr="007F10C5">
        <w:rPr>
          <w:sz w:val="24"/>
        </w:rPr>
        <w:t>Gender is considered in e</w:t>
      </w:r>
      <w:r w:rsidR="00CB3578" w:rsidRPr="007F10C5">
        <w:rPr>
          <w:sz w:val="24"/>
        </w:rPr>
        <w:t>quity analys</w:t>
      </w:r>
      <w:r w:rsidRPr="007F10C5">
        <w:rPr>
          <w:sz w:val="24"/>
        </w:rPr>
        <w:t xml:space="preserve">es; data on race </w:t>
      </w:r>
      <w:r w:rsidR="00BE3897">
        <w:rPr>
          <w:sz w:val="24"/>
        </w:rPr>
        <w:t>are</w:t>
      </w:r>
      <w:r w:rsidRPr="007F10C5">
        <w:rPr>
          <w:sz w:val="24"/>
        </w:rPr>
        <w:t xml:space="preserve"> not currently available at the school level.  </w:t>
      </w:r>
      <w:r w:rsidR="00CB3578" w:rsidRPr="007F10C5">
        <w:rPr>
          <w:sz w:val="24"/>
        </w:rPr>
        <w:t xml:space="preserve">Part-time faculty </w:t>
      </w:r>
      <w:r w:rsidR="009C3E9A" w:rsidRPr="007F10C5">
        <w:rPr>
          <w:sz w:val="24"/>
        </w:rPr>
        <w:t xml:space="preserve">with similar duties </w:t>
      </w:r>
      <w:proofErr w:type="gramStart"/>
      <w:r w:rsidR="00982A14" w:rsidRPr="007F10C5">
        <w:rPr>
          <w:sz w:val="24"/>
        </w:rPr>
        <w:t>are</w:t>
      </w:r>
      <w:proofErr w:type="gramEnd"/>
      <w:r w:rsidR="00CB3578" w:rsidRPr="007F10C5">
        <w:rPr>
          <w:sz w:val="24"/>
        </w:rPr>
        <w:t xml:space="preserve"> paid at </w:t>
      </w:r>
      <w:r w:rsidR="00982A14" w:rsidRPr="007F10C5">
        <w:rPr>
          <w:sz w:val="24"/>
        </w:rPr>
        <w:t xml:space="preserve">a </w:t>
      </w:r>
      <w:r w:rsidR="00CB3578" w:rsidRPr="007F10C5">
        <w:rPr>
          <w:sz w:val="24"/>
        </w:rPr>
        <w:t>comparable</w:t>
      </w:r>
      <w:r w:rsidR="009C3E9A" w:rsidRPr="007F10C5">
        <w:rPr>
          <w:sz w:val="24"/>
        </w:rPr>
        <w:t>, prorated</w:t>
      </w:r>
      <w:r w:rsidR="00CB3578" w:rsidRPr="007F10C5">
        <w:rPr>
          <w:sz w:val="24"/>
        </w:rPr>
        <w:t xml:space="preserve"> am</w:t>
      </w:r>
      <w:r w:rsidR="00982A14" w:rsidRPr="007F10C5">
        <w:rPr>
          <w:sz w:val="24"/>
        </w:rPr>
        <w:t>oun</w:t>
      </w:r>
      <w:r w:rsidR="00CB3578" w:rsidRPr="007F10C5">
        <w:rPr>
          <w:sz w:val="24"/>
        </w:rPr>
        <w:t xml:space="preserve">t. </w:t>
      </w:r>
      <w:r w:rsidR="006E76B9" w:rsidRPr="007F10C5">
        <w:rPr>
          <w:sz w:val="24"/>
        </w:rPr>
        <w:t xml:space="preserve"> </w:t>
      </w:r>
    </w:p>
    <w:p w14:paraId="410FC7AC" w14:textId="77777777" w:rsidR="00764D07" w:rsidRPr="00284F5B" w:rsidRDefault="00764D07" w:rsidP="00764D07">
      <w:pPr>
        <w:pStyle w:val="ListParagraph"/>
        <w:tabs>
          <w:tab w:val="left" w:pos="460"/>
        </w:tabs>
        <w:ind w:firstLine="0"/>
        <w:rPr>
          <w:sz w:val="24"/>
        </w:rPr>
      </w:pPr>
    </w:p>
    <w:p w14:paraId="156BE3C2" w14:textId="77777777" w:rsidR="00284F5B" w:rsidRDefault="00284F5B" w:rsidP="00284F5B">
      <w:pPr>
        <w:pStyle w:val="BodyText"/>
        <w:tabs>
          <w:tab w:val="left" w:pos="460"/>
        </w:tabs>
        <w:spacing w:before="22"/>
        <w:ind w:left="460"/>
      </w:pPr>
    </w:p>
    <w:p w14:paraId="670D4DE2" w14:textId="77777777" w:rsidR="008C4422" w:rsidRDefault="00740C95" w:rsidP="00740C95">
      <w:pPr>
        <w:pStyle w:val="BodyText"/>
        <w:numPr>
          <w:ilvl w:val="0"/>
          <w:numId w:val="1"/>
        </w:numPr>
        <w:tabs>
          <w:tab w:val="left" w:pos="460"/>
        </w:tabs>
        <w:spacing w:before="22"/>
      </w:pPr>
      <w:r>
        <w:t xml:space="preserve">Announcement: </w:t>
      </w:r>
    </w:p>
    <w:p w14:paraId="0471D117" w14:textId="77777777" w:rsidR="00740C95" w:rsidRDefault="008C4422" w:rsidP="008C4422">
      <w:pPr>
        <w:pStyle w:val="BodyText"/>
        <w:numPr>
          <w:ilvl w:val="1"/>
          <w:numId w:val="1"/>
        </w:numPr>
        <w:tabs>
          <w:tab w:val="left" w:pos="460"/>
        </w:tabs>
        <w:spacing w:before="22"/>
      </w:pPr>
      <w:r>
        <w:t>Dr. Napoleon B Higgins Jr, Imposter Syndrome &amp; Microaggressions, February 23, 2022 from 12-</w:t>
      </w:r>
      <w:r w:rsidR="00FF3AB8">
        <w:t>1 pm</w:t>
      </w:r>
    </w:p>
    <w:p w14:paraId="1D6F07BF" w14:textId="77777777" w:rsidR="008C4422" w:rsidRPr="00284F5B" w:rsidRDefault="008C4422" w:rsidP="008C4422">
      <w:pPr>
        <w:pStyle w:val="BodyText"/>
        <w:numPr>
          <w:ilvl w:val="1"/>
          <w:numId w:val="1"/>
        </w:numPr>
        <w:tabs>
          <w:tab w:val="left" w:pos="460"/>
        </w:tabs>
        <w:spacing w:before="22"/>
      </w:pPr>
      <w:r>
        <w:t>Women in Leadership Seminar, February 24, 2022, 11:30-12:30pm</w:t>
      </w:r>
    </w:p>
    <w:p w14:paraId="4788DA31" w14:textId="77777777" w:rsidR="00284F5B" w:rsidRDefault="00284F5B" w:rsidP="00284F5B">
      <w:pPr>
        <w:pStyle w:val="ListParagraph"/>
        <w:tabs>
          <w:tab w:val="left" w:pos="460"/>
        </w:tabs>
        <w:ind w:left="460" w:firstLine="0"/>
        <w:rPr>
          <w:sz w:val="24"/>
        </w:rPr>
      </w:pPr>
    </w:p>
    <w:p w14:paraId="68275F4B" w14:textId="77777777" w:rsidR="00D42182" w:rsidRPr="00740C95" w:rsidRDefault="00CD735C" w:rsidP="00740C95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 w:rsidRPr="00740C95">
        <w:rPr>
          <w:sz w:val="24"/>
        </w:rPr>
        <w:t>Adjournment</w:t>
      </w:r>
      <w:r w:rsidR="008C4422">
        <w:rPr>
          <w:sz w:val="24"/>
        </w:rPr>
        <w:t xml:space="preserve"> </w:t>
      </w:r>
      <w:r w:rsidR="00FF3AB8">
        <w:rPr>
          <w:sz w:val="24"/>
        </w:rPr>
        <w:t>5:08 pm</w:t>
      </w:r>
    </w:p>
    <w:p w14:paraId="497FA3C0" w14:textId="77777777" w:rsidR="00D42182" w:rsidRDefault="00D42182">
      <w:pPr>
        <w:pStyle w:val="BodyText"/>
        <w:rPr>
          <w:sz w:val="26"/>
        </w:rPr>
      </w:pPr>
    </w:p>
    <w:p w14:paraId="40B9DEFB" w14:textId="77777777" w:rsidR="00D42182" w:rsidRDefault="00D42182">
      <w:pPr>
        <w:pStyle w:val="BodyText"/>
        <w:spacing w:before="11"/>
        <w:rPr>
          <w:sz w:val="20"/>
        </w:rPr>
      </w:pPr>
    </w:p>
    <w:p w14:paraId="35AC220B" w14:textId="77777777" w:rsidR="00D42182" w:rsidRDefault="00CD735C">
      <w:pPr>
        <w:pStyle w:val="BodyText"/>
        <w:rPr>
          <w:b/>
          <w:sz w:val="20"/>
        </w:rPr>
      </w:pPr>
      <w:r>
        <w:rPr>
          <w:b/>
        </w:rPr>
        <w:t xml:space="preserve">Next meeting: Thursday, </w:t>
      </w:r>
      <w:r w:rsidR="00284F5B">
        <w:rPr>
          <w:b/>
        </w:rPr>
        <w:t>March</w:t>
      </w:r>
      <w:r w:rsidR="00740C95">
        <w:rPr>
          <w:b/>
        </w:rPr>
        <w:t xml:space="preserve"> 17, </w:t>
      </w:r>
      <w:r>
        <w:rPr>
          <w:b/>
        </w:rPr>
        <w:t>at 4:30 PM</w:t>
      </w:r>
    </w:p>
    <w:p w14:paraId="27A2D830" w14:textId="77777777" w:rsidR="00D42182" w:rsidRDefault="00D42182">
      <w:pPr>
        <w:pStyle w:val="BodyText"/>
        <w:spacing w:before="1"/>
        <w:rPr>
          <w:b/>
          <w:sz w:val="22"/>
        </w:rPr>
      </w:pPr>
    </w:p>
    <w:p w14:paraId="2D4C7B43" w14:textId="77777777" w:rsidR="00D42182" w:rsidRDefault="00CD735C">
      <w:pPr>
        <w:pStyle w:val="BodyText"/>
        <w:spacing w:before="90"/>
        <w:ind w:left="2108" w:right="1369"/>
        <w:jc w:val="center"/>
      </w:pPr>
      <w:r>
        <w:t>Dr. Nahid Rianon – Chair</w:t>
      </w:r>
    </w:p>
    <w:p w14:paraId="6A217A4D" w14:textId="77777777" w:rsidR="00D42182" w:rsidRDefault="00CD735C">
      <w:pPr>
        <w:pStyle w:val="BodyText"/>
        <w:ind w:left="3034" w:right="2293"/>
        <w:jc w:val="center"/>
      </w:pPr>
      <w:r>
        <w:t>Dr. Georgene Hergenroeder – Chair-Elect Dr. Renee Flores – Secretary</w:t>
      </w:r>
    </w:p>
    <w:p w14:paraId="215DC852" w14:textId="77777777" w:rsidR="00D42182" w:rsidRDefault="00CD735C">
      <w:pPr>
        <w:pStyle w:val="BodyText"/>
        <w:ind w:left="2749" w:right="2010" w:firstLine="324"/>
      </w:pPr>
      <w:r>
        <w:t>Dr. Olasimbo Chiadika – Secretary-Elect Dr. Catherine Ambrose – 2020-2021</w:t>
      </w:r>
      <w:r>
        <w:rPr>
          <w:spacing w:val="-14"/>
        </w:rPr>
        <w:t xml:space="preserve"> </w:t>
      </w:r>
      <w:r>
        <w:t>Past-Chair</w:t>
      </w:r>
    </w:p>
    <w:p w14:paraId="25DABE4B" w14:textId="77777777" w:rsidR="00A218D7" w:rsidRDefault="00A218D7">
      <w:pPr>
        <w:pStyle w:val="BodyText"/>
        <w:ind w:left="2749" w:right="2010" w:firstLine="324"/>
      </w:pPr>
    </w:p>
    <w:p w14:paraId="53C3082E" w14:textId="77777777" w:rsidR="00D42182" w:rsidRDefault="00B1395E" w:rsidP="007A4BFB">
      <w:pPr>
        <w:pStyle w:val="BodyText"/>
        <w:ind w:left="2749" w:right="2010" w:firstLine="324"/>
        <w:jc w:val="center"/>
        <w:rPr>
          <w:sz w:val="23"/>
        </w:rPr>
      </w:pPr>
      <w:hyperlink r:id="rId8" w:history="1">
        <w:r w:rsidR="00A218D7" w:rsidRPr="00EF78C2">
          <w:rPr>
            <w:rStyle w:val="Hyperlink"/>
          </w:rPr>
          <w:t>https://med.uth.edu/faculty-senate/ms.faculty@uth.tmc.edu</w:t>
        </w:r>
      </w:hyperlink>
    </w:p>
    <w:sectPr w:rsidR="00D42182">
      <w:type w:val="continuous"/>
      <w:pgSz w:w="12240" w:h="15840"/>
      <w:pgMar w:top="66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2870"/>
    <w:multiLevelType w:val="hybridMultilevel"/>
    <w:tmpl w:val="13FAD358"/>
    <w:lvl w:ilvl="0" w:tplc="696263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FC83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C4C4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8C48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D874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A294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E0A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6470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4AFB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9F870EF"/>
    <w:multiLevelType w:val="hybridMultilevel"/>
    <w:tmpl w:val="BF6E78F4"/>
    <w:lvl w:ilvl="0" w:tplc="ABDED7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463292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2" w15:restartNumberingAfterBreak="0">
    <w:nsid w:val="551C61AD"/>
    <w:multiLevelType w:val="hybridMultilevel"/>
    <w:tmpl w:val="01100216"/>
    <w:lvl w:ilvl="0" w:tplc="87CE86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9A78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44D6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10B9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AA37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82F0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A428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7807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9872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CCC205A"/>
    <w:multiLevelType w:val="hybridMultilevel"/>
    <w:tmpl w:val="A69AE77C"/>
    <w:lvl w:ilvl="0" w:tplc="21ECC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6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6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E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6D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6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3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CE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DA3M7cwNDQ0NzFX0lEKTi0uzszPAykwrgUANlKgFCwAAAA="/>
  </w:docVars>
  <w:rsids>
    <w:rsidRoot w:val="00D42182"/>
    <w:rsid w:val="000336EA"/>
    <w:rsid w:val="000A5BC3"/>
    <w:rsid w:val="001A0408"/>
    <w:rsid w:val="0022294D"/>
    <w:rsid w:val="00231851"/>
    <w:rsid w:val="00284F5B"/>
    <w:rsid w:val="00286FB2"/>
    <w:rsid w:val="00335FAD"/>
    <w:rsid w:val="003711E6"/>
    <w:rsid w:val="003F3A89"/>
    <w:rsid w:val="004B688E"/>
    <w:rsid w:val="005A65C2"/>
    <w:rsid w:val="006C57C2"/>
    <w:rsid w:val="006E76B9"/>
    <w:rsid w:val="00740C95"/>
    <w:rsid w:val="00764D07"/>
    <w:rsid w:val="007A4BFB"/>
    <w:rsid w:val="007F10C5"/>
    <w:rsid w:val="008553B5"/>
    <w:rsid w:val="008C4422"/>
    <w:rsid w:val="00982A14"/>
    <w:rsid w:val="009C3E9A"/>
    <w:rsid w:val="00A218D7"/>
    <w:rsid w:val="00A930AB"/>
    <w:rsid w:val="00B1395E"/>
    <w:rsid w:val="00BB58D5"/>
    <w:rsid w:val="00BC268F"/>
    <w:rsid w:val="00BE3897"/>
    <w:rsid w:val="00CB3578"/>
    <w:rsid w:val="00CD735C"/>
    <w:rsid w:val="00CE3A1A"/>
    <w:rsid w:val="00D2610A"/>
    <w:rsid w:val="00D42182"/>
    <w:rsid w:val="00DA0565"/>
    <w:rsid w:val="00EF78C2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135C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4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5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C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6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th.edu/faculty-senate/ms.faculty@uth.tm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th.edu/brand-standards/tool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uth.edu/cme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391-E3BD-4659-B4A4-AB6C8003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Flores, Renee J</cp:lastModifiedBy>
  <cp:revision>5</cp:revision>
  <dcterms:created xsi:type="dcterms:W3CDTF">2022-03-16T17:51:00Z</dcterms:created>
  <dcterms:modified xsi:type="dcterms:W3CDTF">2022-03-16T17:53:00Z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