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B64F" w14:textId="77777777" w:rsidR="00D42182" w:rsidRPr="003F72A2" w:rsidRDefault="00CD735C">
      <w:pPr>
        <w:pStyle w:val="Heading1"/>
        <w:spacing w:before="59" w:line="299" w:lineRule="exact"/>
        <w:rPr>
          <w:sz w:val="22"/>
          <w:szCs w:val="22"/>
        </w:rPr>
      </w:pPr>
      <w:r w:rsidRPr="003F72A2">
        <w:rPr>
          <w:sz w:val="22"/>
          <w:szCs w:val="22"/>
        </w:rPr>
        <w:t>UTHealth McGovern Medical School Faculty Senate</w:t>
      </w:r>
    </w:p>
    <w:p w14:paraId="20F8E252" w14:textId="77777777" w:rsidR="00D42182" w:rsidRPr="003F72A2" w:rsidRDefault="00CD735C">
      <w:pPr>
        <w:ind w:left="3034" w:right="2290"/>
        <w:jc w:val="center"/>
      </w:pPr>
      <w:r w:rsidRPr="003F72A2">
        <w:t xml:space="preserve">Thursday, </w:t>
      </w:r>
      <w:r w:rsidR="003F3A89" w:rsidRPr="003F72A2">
        <w:t>January</w:t>
      </w:r>
      <w:r w:rsidRPr="003F72A2">
        <w:t xml:space="preserve"> </w:t>
      </w:r>
      <w:r w:rsidR="003F3A89" w:rsidRPr="003F72A2">
        <w:t>20</w:t>
      </w:r>
      <w:r w:rsidRPr="003F72A2">
        <w:t>, 202</w:t>
      </w:r>
      <w:r w:rsidR="003F3A89" w:rsidRPr="003F72A2">
        <w:t>2</w:t>
      </w:r>
      <w:r w:rsidRPr="003F72A2">
        <w:t xml:space="preserve"> </w:t>
      </w:r>
      <w:r w:rsidRPr="003F72A2">
        <w:rPr>
          <w:rFonts w:ascii="Cambria Math" w:hAnsi="Cambria Math" w:cs="Cambria Math"/>
        </w:rPr>
        <w:t>∣</w:t>
      </w:r>
      <w:r w:rsidRPr="003F72A2">
        <w:t xml:space="preserve"> 4:30 pm W</w:t>
      </w:r>
      <w:r w:rsidR="003F3A89" w:rsidRPr="003F72A2">
        <w:t>ebEx</w:t>
      </w:r>
      <w:r w:rsidRPr="003F72A2">
        <w:t xml:space="preserve"> Meeting</w:t>
      </w:r>
    </w:p>
    <w:p w14:paraId="070F33BE" w14:textId="77777777" w:rsidR="00D42182" w:rsidRPr="003F72A2" w:rsidRDefault="00D42182">
      <w:pPr>
        <w:pStyle w:val="BodyText"/>
        <w:rPr>
          <w:sz w:val="22"/>
          <w:szCs w:val="22"/>
        </w:rPr>
      </w:pPr>
    </w:p>
    <w:p w14:paraId="6D40AC3B" w14:textId="5D03AEBE" w:rsidR="00D42182" w:rsidRPr="003F72A2" w:rsidRDefault="00EE574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651C33B7" w14:textId="77777777" w:rsidR="00D42182" w:rsidRPr="003F72A2" w:rsidRDefault="00D42182">
      <w:pPr>
        <w:pStyle w:val="BodyText"/>
        <w:rPr>
          <w:b/>
          <w:sz w:val="22"/>
          <w:szCs w:val="22"/>
        </w:rPr>
      </w:pPr>
    </w:p>
    <w:p w14:paraId="05F8DD0F" w14:textId="77777777" w:rsidR="00D42182" w:rsidRPr="003F72A2" w:rsidRDefault="00D42182">
      <w:pPr>
        <w:pStyle w:val="BodyText"/>
        <w:rPr>
          <w:b/>
          <w:sz w:val="22"/>
          <w:szCs w:val="22"/>
        </w:rPr>
      </w:pPr>
    </w:p>
    <w:p w14:paraId="3745394E" w14:textId="77777777" w:rsidR="00D42182" w:rsidRPr="003F72A2" w:rsidRDefault="00D42182">
      <w:pPr>
        <w:pStyle w:val="BodyText"/>
        <w:spacing w:before="1"/>
        <w:rPr>
          <w:b/>
          <w:sz w:val="22"/>
          <w:szCs w:val="22"/>
        </w:rPr>
      </w:pPr>
    </w:p>
    <w:p w14:paraId="75B4294B" w14:textId="77777777" w:rsidR="00D42182" w:rsidRPr="003F72A2" w:rsidRDefault="00CD735C">
      <w:pPr>
        <w:pStyle w:val="ListParagraph"/>
        <w:numPr>
          <w:ilvl w:val="0"/>
          <w:numId w:val="1"/>
        </w:numPr>
        <w:tabs>
          <w:tab w:val="left" w:pos="460"/>
        </w:tabs>
      </w:pPr>
      <w:r w:rsidRPr="003F72A2">
        <w:t>Introduction</w:t>
      </w:r>
    </w:p>
    <w:p w14:paraId="1BA118C9" w14:textId="77777777" w:rsidR="00D42182" w:rsidRPr="003F72A2" w:rsidRDefault="00CD735C">
      <w:pPr>
        <w:pStyle w:val="ListParagraph"/>
        <w:numPr>
          <w:ilvl w:val="1"/>
          <w:numId w:val="1"/>
        </w:numPr>
        <w:tabs>
          <w:tab w:val="left" w:pos="820"/>
        </w:tabs>
      </w:pPr>
      <w:r w:rsidRPr="003F72A2">
        <w:t>Call to</w:t>
      </w:r>
      <w:r w:rsidRPr="003F72A2">
        <w:rPr>
          <w:spacing w:val="-1"/>
        </w:rPr>
        <w:t xml:space="preserve"> </w:t>
      </w:r>
      <w:r w:rsidRPr="003F72A2">
        <w:t>Order</w:t>
      </w:r>
      <w:r w:rsidR="00ED4226" w:rsidRPr="003F72A2">
        <w:t xml:space="preserve">- </w:t>
      </w:r>
      <w:r w:rsidR="003C52FC" w:rsidRPr="003F72A2">
        <w:t xml:space="preserve">Dr. Rianon, </w:t>
      </w:r>
      <w:r w:rsidR="00ED4226" w:rsidRPr="003F72A2">
        <w:t>4:30</w:t>
      </w:r>
      <w:r w:rsidR="003C52FC" w:rsidRPr="003F72A2">
        <w:t>pm</w:t>
      </w:r>
    </w:p>
    <w:p w14:paraId="0E409849" w14:textId="77777777" w:rsidR="00D42182" w:rsidRPr="003F72A2" w:rsidRDefault="00CD735C">
      <w:pPr>
        <w:pStyle w:val="ListParagraph"/>
        <w:numPr>
          <w:ilvl w:val="1"/>
          <w:numId w:val="1"/>
        </w:numPr>
        <w:tabs>
          <w:tab w:val="left" w:pos="820"/>
        </w:tabs>
      </w:pPr>
      <w:r w:rsidRPr="003F72A2">
        <w:t>Housekeeping</w:t>
      </w:r>
      <w:r w:rsidRPr="003F72A2">
        <w:rPr>
          <w:spacing w:val="-1"/>
        </w:rPr>
        <w:t xml:space="preserve"> </w:t>
      </w:r>
      <w:r w:rsidRPr="003F72A2">
        <w:t>reminders</w:t>
      </w:r>
    </w:p>
    <w:p w14:paraId="5F1EE403" w14:textId="77777777" w:rsidR="00D42182" w:rsidRPr="003F72A2" w:rsidRDefault="00D42182">
      <w:pPr>
        <w:pStyle w:val="BodyText"/>
        <w:spacing w:before="10"/>
        <w:rPr>
          <w:sz w:val="22"/>
          <w:szCs w:val="22"/>
        </w:rPr>
      </w:pPr>
    </w:p>
    <w:p w14:paraId="3F1E2979" w14:textId="77777777" w:rsidR="00D42182" w:rsidRPr="003F72A2" w:rsidRDefault="00CD735C">
      <w:pPr>
        <w:pStyle w:val="ListParagraph"/>
        <w:numPr>
          <w:ilvl w:val="0"/>
          <w:numId w:val="1"/>
        </w:numPr>
        <w:tabs>
          <w:tab w:val="left" w:pos="460"/>
        </w:tabs>
      </w:pPr>
      <w:r w:rsidRPr="003F72A2">
        <w:t xml:space="preserve">Approval of Minutes – </w:t>
      </w:r>
      <w:r w:rsidR="003F3A89" w:rsidRPr="003F72A2">
        <w:t>November</w:t>
      </w:r>
      <w:r w:rsidRPr="003F72A2">
        <w:rPr>
          <w:spacing w:val="-1"/>
        </w:rPr>
        <w:t xml:space="preserve"> </w:t>
      </w:r>
      <w:r w:rsidRPr="003F72A2">
        <w:t>2021</w:t>
      </w:r>
    </w:p>
    <w:p w14:paraId="0329CD65" w14:textId="77777777" w:rsidR="00D42182" w:rsidRPr="003F72A2" w:rsidRDefault="00D42182">
      <w:pPr>
        <w:pStyle w:val="BodyText"/>
        <w:spacing w:before="9"/>
        <w:rPr>
          <w:sz w:val="22"/>
          <w:szCs w:val="22"/>
        </w:rPr>
      </w:pPr>
    </w:p>
    <w:p w14:paraId="75B94546" w14:textId="77777777" w:rsidR="00D42182" w:rsidRPr="003F72A2" w:rsidRDefault="00CD735C">
      <w:pPr>
        <w:pStyle w:val="ListParagraph"/>
        <w:numPr>
          <w:ilvl w:val="0"/>
          <w:numId w:val="1"/>
        </w:numPr>
        <w:tabs>
          <w:tab w:val="left" w:pos="460"/>
        </w:tabs>
      </w:pPr>
      <w:r w:rsidRPr="003F72A2">
        <w:t>Reports</w:t>
      </w:r>
    </w:p>
    <w:p w14:paraId="5FA3875D" w14:textId="77777777" w:rsidR="0041114D" w:rsidRPr="003F72A2" w:rsidRDefault="00CD735C">
      <w:pPr>
        <w:pStyle w:val="ListParagraph"/>
        <w:numPr>
          <w:ilvl w:val="1"/>
          <w:numId w:val="1"/>
        </w:numPr>
        <w:tabs>
          <w:tab w:val="left" w:pos="820"/>
        </w:tabs>
      </w:pPr>
      <w:r w:rsidRPr="003F72A2">
        <w:t>Faculty Affairs update – Dr. Kevin</w:t>
      </w:r>
      <w:r w:rsidRPr="003F72A2">
        <w:rPr>
          <w:spacing w:val="-6"/>
        </w:rPr>
        <w:t xml:space="preserve"> </w:t>
      </w:r>
      <w:r w:rsidRPr="003F72A2">
        <w:t>Morano</w:t>
      </w:r>
      <w:r w:rsidR="00ED4226" w:rsidRPr="003F72A2">
        <w:t xml:space="preserve">- </w:t>
      </w:r>
    </w:p>
    <w:p w14:paraId="1F8CF226" w14:textId="3D157BB7" w:rsidR="00D42182" w:rsidRPr="003F72A2" w:rsidRDefault="00ED4226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 xml:space="preserve">Review </w:t>
      </w:r>
      <w:r w:rsidR="006044D2" w:rsidRPr="003F72A2">
        <w:t xml:space="preserve">of Omicron </w:t>
      </w:r>
      <w:r w:rsidR="00AA4061">
        <w:t>t</w:t>
      </w:r>
      <w:r w:rsidR="006044D2" w:rsidRPr="003F72A2">
        <w:t>rend</w:t>
      </w:r>
      <w:r w:rsidR="00163783" w:rsidRPr="003F72A2">
        <w:t xml:space="preserve">. Continue to recommend </w:t>
      </w:r>
      <w:r w:rsidR="00BB6AE3" w:rsidRPr="003F72A2">
        <w:t>minimizing</w:t>
      </w:r>
      <w:r w:rsidR="00163783" w:rsidRPr="003F72A2">
        <w:t xml:space="preserve"> large gatherings. Federal Mandates</w:t>
      </w:r>
      <w:r w:rsidR="003F72A2" w:rsidRPr="003F72A2">
        <w:t xml:space="preserve"> at this point only impact</w:t>
      </w:r>
      <w:r w:rsidR="00163783" w:rsidRPr="003F72A2">
        <w:t xml:space="preserve"> HCPC to show proof of vaccinations. </w:t>
      </w:r>
    </w:p>
    <w:p w14:paraId="7D325CD7" w14:textId="77777777" w:rsidR="00163783" w:rsidRPr="003F72A2" w:rsidRDefault="00163783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>Promotion- 10 meetings over 3 months, 96</w:t>
      </w:r>
      <w:r w:rsidR="00BB6AE3" w:rsidRPr="003F72A2">
        <w:t xml:space="preserve"> </w:t>
      </w:r>
      <w:r w:rsidR="00566E02">
        <w:t>promotions</w:t>
      </w:r>
      <w:r w:rsidR="00BB6AE3" w:rsidRPr="003F72A2">
        <w:t xml:space="preserve"> in the works</w:t>
      </w:r>
    </w:p>
    <w:p w14:paraId="1020976C" w14:textId="77777777" w:rsidR="00163783" w:rsidRPr="003F72A2" w:rsidRDefault="00163783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 xml:space="preserve">Dean search in process, stay tuned </w:t>
      </w:r>
      <w:r w:rsidR="002D50B2">
        <w:t xml:space="preserve">for updates – maybe </w:t>
      </w:r>
      <w:r w:rsidRPr="003F72A2">
        <w:t>February- March latest</w:t>
      </w:r>
    </w:p>
    <w:p w14:paraId="4D5DD2B1" w14:textId="77777777" w:rsidR="00163783" w:rsidRDefault="00163783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>Dr. Blackburn</w:t>
      </w:r>
      <w:r w:rsidRPr="003F72A2">
        <w:sym w:font="Wingdings" w:char="F0E0"/>
      </w:r>
      <w:r w:rsidR="0085649A">
        <w:t xml:space="preserve">retiring, </w:t>
      </w:r>
      <w:r w:rsidR="002D50B2">
        <w:t>will be announced soon</w:t>
      </w:r>
    </w:p>
    <w:p w14:paraId="23689C94" w14:textId="77777777" w:rsidR="000253FE" w:rsidRPr="003F72A2" w:rsidRDefault="000253FE" w:rsidP="0041114D">
      <w:pPr>
        <w:pStyle w:val="ListParagraph"/>
        <w:numPr>
          <w:ilvl w:val="2"/>
          <w:numId w:val="1"/>
        </w:numPr>
        <w:tabs>
          <w:tab w:val="left" w:pos="820"/>
        </w:tabs>
      </w:pPr>
    </w:p>
    <w:p w14:paraId="7F4BB028" w14:textId="7C37FE9B" w:rsidR="0041114D" w:rsidRPr="003F72A2" w:rsidRDefault="0041114D" w:rsidP="0041114D">
      <w:pPr>
        <w:pStyle w:val="ListParagraph"/>
        <w:numPr>
          <w:ilvl w:val="1"/>
          <w:numId w:val="1"/>
        </w:numPr>
        <w:tabs>
          <w:tab w:val="left" w:pos="820"/>
        </w:tabs>
      </w:pPr>
      <w:r w:rsidRPr="003F72A2">
        <w:t xml:space="preserve">Dr. </w:t>
      </w:r>
      <w:proofErr w:type="spellStart"/>
      <w:r w:rsidR="00AA4061">
        <w:t>LaTanya</w:t>
      </w:r>
      <w:proofErr w:type="spellEnd"/>
      <w:r w:rsidR="00AA4061" w:rsidRPr="003F72A2">
        <w:t xml:space="preserve"> </w:t>
      </w:r>
      <w:r w:rsidRPr="003F72A2">
        <w:t>Love, Dean of Education</w:t>
      </w:r>
    </w:p>
    <w:p w14:paraId="15B1D8EF" w14:textId="77777777" w:rsidR="0041114D" w:rsidRPr="003F72A2" w:rsidRDefault="0041114D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>Oversees OEP, OASA, GME, ODI</w:t>
      </w:r>
    </w:p>
    <w:p w14:paraId="62DBF99A" w14:textId="0B2F8C6E" w:rsidR="0041114D" w:rsidRPr="003F72A2" w:rsidRDefault="0041114D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>Works with leaders of student support area</w:t>
      </w:r>
      <w:r w:rsidR="00AA4061">
        <w:t>s</w:t>
      </w:r>
      <w:r w:rsidRPr="003F72A2">
        <w:t xml:space="preserve"> to ensure our students are getting services (student financial, health and counseling, </w:t>
      </w:r>
      <w:r w:rsidR="00AA4061">
        <w:t>auxiliary</w:t>
      </w:r>
      <w:r w:rsidRPr="003F72A2">
        <w:t>)</w:t>
      </w:r>
    </w:p>
    <w:p w14:paraId="2C036C4D" w14:textId="77777777" w:rsidR="0041114D" w:rsidRPr="003F72A2" w:rsidRDefault="0041114D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>Dr. Butler retired, Mark Hormann is the new Vice Dean for OEP</w:t>
      </w:r>
    </w:p>
    <w:p w14:paraId="1A5E9A45" w14:textId="77777777" w:rsidR="0041114D" w:rsidRPr="003F72A2" w:rsidRDefault="0041114D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>COVID response for students, high for students</w:t>
      </w:r>
    </w:p>
    <w:p w14:paraId="3A5109CE" w14:textId="77777777" w:rsidR="00440CBC" w:rsidRPr="003F72A2" w:rsidRDefault="00440CBC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>Graduation updates</w:t>
      </w:r>
      <w:r w:rsidRPr="003F72A2">
        <w:sym w:font="Wingdings" w:char="F0E0"/>
      </w:r>
      <w:r w:rsidRPr="003F72A2">
        <w:t>Friday, May 13</w:t>
      </w:r>
      <w:r w:rsidRPr="003F72A2">
        <w:rPr>
          <w:vertAlign w:val="superscript"/>
        </w:rPr>
        <w:t>th</w:t>
      </w:r>
      <w:r w:rsidRPr="003F72A2">
        <w:t>, Speaker Brene Brown at Minute Maid</w:t>
      </w:r>
    </w:p>
    <w:p w14:paraId="51F1FB47" w14:textId="77777777" w:rsidR="00440CBC" w:rsidRPr="003F72A2" w:rsidRDefault="00440CBC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>Medical Student Admissions last interview date tomorrow, 1/21/2022</w:t>
      </w:r>
    </w:p>
    <w:p w14:paraId="4B41ABA8" w14:textId="77777777" w:rsidR="00440CBC" w:rsidRPr="003F72A2" w:rsidRDefault="00440CBC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 w:rsidRPr="003F72A2">
        <w:t>L</w:t>
      </w:r>
      <w:r w:rsidR="00BB6AE3" w:rsidRPr="003F72A2">
        <w:t xml:space="preserve">CME </w:t>
      </w:r>
      <w:r w:rsidR="00AA4061">
        <w:t xml:space="preserve">visit </w:t>
      </w:r>
      <w:r w:rsidR="00BB6AE3" w:rsidRPr="003F72A2">
        <w:t>M</w:t>
      </w:r>
      <w:r w:rsidRPr="003F72A2">
        <w:t xml:space="preserve">ay 23-25, </w:t>
      </w:r>
      <w:r w:rsidR="00AA4061">
        <w:t xml:space="preserve">issues including </w:t>
      </w:r>
      <w:r w:rsidRPr="003F72A2">
        <w:t xml:space="preserve">mistreatment, feedback, </w:t>
      </w:r>
      <w:r w:rsidR="009B7EE4" w:rsidRPr="003F72A2">
        <w:t>observed</w:t>
      </w:r>
      <w:r w:rsidRPr="003F72A2">
        <w:t xml:space="preserve"> physicals </w:t>
      </w:r>
    </w:p>
    <w:p w14:paraId="31633635" w14:textId="77777777" w:rsidR="009B7EE4" w:rsidRDefault="00AA4061" w:rsidP="0041114D">
      <w:pPr>
        <w:pStyle w:val="ListParagraph"/>
        <w:numPr>
          <w:ilvl w:val="2"/>
          <w:numId w:val="1"/>
        </w:numPr>
        <w:tabs>
          <w:tab w:val="left" w:pos="820"/>
        </w:tabs>
      </w:pPr>
      <w:r>
        <w:t xml:space="preserve">A portion of the </w:t>
      </w:r>
      <w:r w:rsidR="009B7EE4" w:rsidRPr="003F72A2">
        <w:t xml:space="preserve">OEP </w:t>
      </w:r>
      <w:r>
        <w:t xml:space="preserve">staff are </w:t>
      </w:r>
      <w:r w:rsidR="009B7EE4" w:rsidRPr="003F72A2">
        <w:t>moving from JJL to MSB</w:t>
      </w:r>
    </w:p>
    <w:p w14:paraId="4623517E" w14:textId="77777777" w:rsidR="000253FE" w:rsidRPr="003F72A2" w:rsidRDefault="000253FE" w:rsidP="000253FE">
      <w:pPr>
        <w:pStyle w:val="ListParagraph"/>
        <w:tabs>
          <w:tab w:val="left" w:pos="820"/>
        </w:tabs>
        <w:ind w:left="1768" w:firstLine="0"/>
      </w:pPr>
    </w:p>
    <w:p w14:paraId="53FA1821" w14:textId="77777777" w:rsidR="003F3A89" w:rsidRPr="003F72A2" w:rsidRDefault="00CD735C" w:rsidP="003F3A89">
      <w:pPr>
        <w:pStyle w:val="ListParagraph"/>
        <w:numPr>
          <w:ilvl w:val="1"/>
          <w:numId w:val="1"/>
        </w:numPr>
        <w:tabs>
          <w:tab w:val="left" w:pos="820"/>
        </w:tabs>
        <w:spacing w:before="22"/>
      </w:pPr>
      <w:r w:rsidRPr="003F72A2">
        <w:t xml:space="preserve">Dr. </w:t>
      </w:r>
      <w:r w:rsidR="003F3A89" w:rsidRPr="003F72A2">
        <w:t>Luis Ostrosky – U</w:t>
      </w:r>
      <w:r w:rsidRPr="003F72A2">
        <w:t>pdate</w:t>
      </w:r>
      <w:r w:rsidR="003F3A89" w:rsidRPr="003F72A2">
        <w:t>s and follow up about current COVID-19 surge and Omicron variant</w:t>
      </w:r>
      <w:r w:rsidRPr="003F72A2">
        <w:t xml:space="preserve"> </w:t>
      </w:r>
    </w:p>
    <w:p w14:paraId="3C7C7D29" w14:textId="1E7FAF17" w:rsidR="009B7EE4" w:rsidRPr="003F72A2" w:rsidRDefault="009B7EE4" w:rsidP="003F72A2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5</w:t>
      </w:r>
      <w:r w:rsidRPr="003F72A2">
        <w:rPr>
          <w:vertAlign w:val="superscript"/>
        </w:rPr>
        <w:t>th</w:t>
      </w:r>
      <w:r w:rsidRPr="003F72A2">
        <w:t xml:space="preserve"> wave of </w:t>
      </w:r>
      <w:r w:rsidR="00BB6AE3" w:rsidRPr="003F72A2">
        <w:t>COVID</w:t>
      </w:r>
      <w:r w:rsidR="003F72A2" w:rsidRPr="003F72A2">
        <w:t xml:space="preserve">: </w:t>
      </w:r>
      <w:r w:rsidR="0085649A" w:rsidRPr="003F72A2">
        <w:t>Wastewater</w:t>
      </w:r>
      <w:r w:rsidRPr="003F72A2">
        <w:t xml:space="preserve"> surveillance</w:t>
      </w:r>
      <w:r w:rsidR="00AA4061">
        <w:t>;</w:t>
      </w:r>
      <w:r w:rsidR="00AA4061" w:rsidRPr="003F72A2">
        <w:t xml:space="preserve"> </w:t>
      </w:r>
      <w:r w:rsidRPr="003F72A2">
        <w:t>positivity rate decreasing in Houston, and expected to continue to decrease over the next two weeks</w:t>
      </w:r>
    </w:p>
    <w:p w14:paraId="0EDA5933" w14:textId="77777777" w:rsidR="009B7EE4" w:rsidRPr="003F72A2" w:rsidRDefault="009B7EE4" w:rsidP="009B7EE4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 xml:space="preserve">TMC </w:t>
      </w:r>
      <w:r w:rsidR="00204AD1" w:rsidRPr="003F72A2">
        <w:t>Data</w:t>
      </w:r>
      <w:r w:rsidRPr="003F72A2">
        <w:t xml:space="preserve"> continues to show </w:t>
      </w:r>
      <w:r w:rsidR="00204AD1" w:rsidRPr="003F72A2">
        <w:t xml:space="preserve">a </w:t>
      </w:r>
      <w:r w:rsidRPr="003F72A2">
        <w:t>weekly average high, which is expected to be higher</w:t>
      </w:r>
      <w:r w:rsidR="00AA4061">
        <w:t xml:space="preserve"> than reported</w:t>
      </w:r>
      <w:r w:rsidRPr="003F72A2">
        <w:t xml:space="preserve"> because people are testing at home</w:t>
      </w:r>
    </w:p>
    <w:p w14:paraId="699CC20E" w14:textId="1D2F52BA" w:rsidR="009B7EE4" w:rsidRPr="003F72A2" w:rsidRDefault="00AA4061" w:rsidP="009B7EE4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>
        <w:t xml:space="preserve">Hospitalized COVID patients are </w:t>
      </w:r>
      <w:r w:rsidR="009B7EE4" w:rsidRPr="003F72A2">
        <w:t xml:space="preserve">92% </w:t>
      </w:r>
      <w:r w:rsidR="00204AD1" w:rsidRPr="003F72A2">
        <w:t>unvaccinated, showing that vaccinations are working</w:t>
      </w:r>
    </w:p>
    <w:p w14:paraId="3DCD8CB2" w14:textId="4DB63283" w:rsidR="00204AD1" w:rsidRPr="003F72A2" w:rsidRDefault="00204AD1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 xml:space="preserve">Omicron is 99% the variant in circulation in Texas. Milder </w:t>
      </w:r>
      <w:r w:rsidR="00AA4061">
        <w:t xml:space="preserve">symptoms with </w:t>
      </w:r>
      <w:r w:rsidRPr="003F72A2">
        <w:t xml:space="preserve">vaccination, and still high hospitalization rates for nonvaccinated people. Booster also </w:t>
      </w:r>
      <w:r w:rsidR="00AA4061" w:rsidRPr="003F72A2">
        <w:t>show</w:t>
      </w:r>
      <w:r w:rsidR="00AA4061">
        <w:t>s</w:t>
      </w:r>
      <w:r w:rsidR="00AA4061" w:rsidRPr="003F72A2">
        <w:t xml:space="preserve"> </w:t>
      </w:r>
      <w:r w:rsidRPr="003F72A2">
        <w:t>protection</w:t>
      </w:r>
    </w:p>
    <w:p w14:paraId="119B5AF0" w14:textId="77777777" w:rsidR="00204AD1" w:rsidRPr="003F72A2" w:rsidRDefault="00204AD1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Booster also recommended for 3</w:t>
      </w:r>
      <w:r w:rsidRPr="003F72A2">
        <w:rPr>
          <w:vertAlign w:val="superscript"/>
        </w:rPr>
        <w:t>rd</w:t>
      </w:r>
      <w:r w:rsidRPr="003F72A2">
        <w:t>/4</w:t>
      </w:r>
      <w:r w:rsidRPr="003F72A2">
        <w:rPr>
          <w:vertAlign w:val="superscript"/>
        </w:rPr>
        <w:t>th</w:t>
      </w:r>
      <w:r w:rsidRPr="003F72A2">
        <w:t xml:space="preserve"> doses. Mixing and matching brands of vaccination have shown to have better results.</w:t>
      </w:r>
    </w:p>
    <w:p w14:paraId="0FFC6D9A" w14:textId="77777777" w:rsidR="00204AD1" w:rsidRPr="003F72A2" w:rsidRDefault="00204AD1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CDC likely to redefine “fully vaccinate</w:t>
      </w:r>
      <w:r w:rsidR="00AA4061">
        <w:t>d</w:t>
      </w:r>
      <w:r w:rsidRPr="003F72A2">
        <w:t>” to include boosters</w:t>
      </w:r>
    </w:p>
    <w:p w14:paraId="62055A33" w14:textId="2A080CAE" w:rsidR="00204AD1" w:rsidRPr="003F72A2" w:rsidRDefault="00204AD1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 xml:space="preserve">Regeneron and Lilly </w:t>
      </w:r>
      <w:r w:rsidR="00AA4061">
        <w:t>monoclonal antibody treatments</w:t>
      </w:r>
      <w:r w:rsidR="00AA4061" w:rsidRPr="003F72A2">
        <w:t xml:space="preserve"> </w:t>
      </w:r>
      <w:r w:rsidRPr="003F72A2">
        <w:t xml:space="preserve">phased out due to no effect on </w:t>
      </w:r>
      <w:r w:rsidR="00AA4061">
        <w:t>O</w:t>
      </w:r>
      <w:r w:rsidRPr="003F72A2">
        <w:t xml:space="preserve">micron. GSK </w:t>
      </w:r>
      <w:r w:rsidR="00AA4061">
        <w:t xml:space="preserve">in </w:t>
      </w:r>
      <w:r w:rsidRPr="003F72A2">
        <w:t>extremely limited supply. A</w:t>
      </w:r>
      <w:r w:rsidR="006066A5">
        <w:t xml:space="preserve">stra </w:t>
      </w:r>
      <w:r w:rsidRPr="003F72A2">
        <w:t>Z</w:t>
      </w:r>
      <w:r w:rsidR="006066A5">
        <w:t>eneca</w:t>
      </w:r>
      <w:r w:rsidRPr="003F72A2">
        <w:t xml:space="preserve"> long-acting </w:t>
      </w:r>
      <w:proofErr w:type="spellStart"/>
      <w:r w:rsidRPr="003F72A2">
        <w:t>PreP</w:t>
      </w:r>
      <w:proofErr w:type="spellEnd"/>
      <w:r w:rsidR="006066A5">
        <w:t xml:space="preserve"> (</w:t>
      </w:r>
      <w:r w:rsidR="0026784E">
        <w:t>pre-exposure</w:t>
      </w:r>
      <w:r w:rsidR="006066A5">
        <w:t xml:space="preserve"> prophylaxis)</w:t>
      </w:r>
      <w:r w:rsidRPr="003F72A2">
        <w:t xml:space="preserve"> limited availability</w:t>
      </w:r>
    </w:p>
    <w:p w14:paraId="02624BA5" w14:textId="77777777" w:rsidR="00BB6AE3" w:rsidRPr="003F72A2" w:rsidRDefault="00204AD1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lastRenderedPageBreak/>
        <w:t xml:space="preserve">Pfizer pediatric vaccinations (1/3) for 5-11 </w:t>
      </w:r>
      <w:r w:rsidR="00AA4061">
        <w:t xml:space="preserve">years old </w:t>
      </w:r>
      <w:r w:rsidRPr="003F72A2">
        <w:t>approved low uptake. 0.5</w:t>
      </w:r>
      <w:r w:rsidR="00BB6AE3" w:rsidRPr="003F72A2">
        <w:t>-4 years will likely go to 2Q22 or longer due to dose selection problems</w:t>
      </w:r>
    </w:p>
    <w:p w14:paraId="0FFCA8C0" w14:textId="5AC18B4F" w:rsidR="00204AD1" w:rsidRPr="003F72A2" w:rsidRDefault="00BB6AE3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 xml:space="preserve">Conflict between federal vaccination mandates and </w:t>
      </w:r>
      <w:r w:rsidR="00AA4061">
        <w:t>s</w:t>
      </w:r>
      <w:r w:rsidR="00AA4061" w:rsidRPr="003F72A2">
        <w:t xml:space="preserve">tate </w:t>
      </w:r>
      <w:r w:rsidRPr="003F72A2">
        <w:t>bans to be decided</w:t>
      </w:r>
      <w:r w:rsidR="00204AD1" w:rsidRPr="003F72A2">
        <w:t xml:space="preserve"> </w:t>
      </w:r>
      <w:r w:rsidR="00FF4376" w:rsidRPr="003F72A2">
        <w:t xml:space="preserve">by courts. OSHA rule </w:t>
      </w:r>
      <w:r w:rsidR="00AA4061" w:rsidRPr="003F72A2">
        <w:t>stricken</w:t>
      </w:r>
      <w:r w:rsidR="00FF4376" w:rsidRPr="003F72A2">
        <w:t>. CMS requirement upheld.</w:t>
      </w:r>
    </w:p>
    <w:p w14:paraId="6AE27CE1" w14:textId="7E321045" w:rsidR="00FF4376" w:rsidRPr="003F72A2" w:rsidRDefault="00FF4376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proofErr w:type="spellStart"/>
      <w:r w:rsidRPr="003F72A2">
        <w:t>Paxlovid</w:t>
      </w:r>
      <w:proofErr w:type="spellEnd"/>
      <w:r w:rsidRPr="003F72A2">
        <w:t xml:space="preserve"> (Pfizer) and </w:t>
      </w:r>
      <w:proofErr w:type="spellStart"/>
      <w:r w:rsidRPr="003F72A2">
        <w:t>Molnupiravir</w:t>
      </w:r>
      <w:proofErr w:type="spellEnd"/>
      <w:r w:rsidRPr="003F72A2">
        <w:t xml:space="preserve"> (Merck) received </w:t>
      </w:r>
      <w:r w:rsidR="000B48D6">
        <w:t>FDA</w:t>
      </w:r>
      <w:r w:rsidR="000B48D6" w:rsidRPr="003F72A2">
        <w:t xml:space="preserve"> </w:t>
      </w:r>
      <w:r w:rsidRPr="003F72A2">
        <w:t xml:space="preserve">EUA. Limited doses, distribution started 12/31/21. Issues to consider with both drugs. Vaccination </w:t>
      </w:r>
      <w:r w:rsidR="0026784E">
        <w:t xml:space="preserve">is </w:t>
      </w:r>
      <w:r w:rsidRPr="003F72A2">
        <w:t>still best option</w:t>
      </w:r>
    </w:p>
    <w:p w14:paraId="0DDDBE40" w14:textId="74FABB2A" w:rsidR="00FF4376" w:rsidRPr="003F72A2" w:rsidRDefault="00FF4376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 xml:space="preserve">New </w:t>
      </w:r>
      <w:r w:rsidR="000B48D6">
        <w:t>return to work</w:t>
      </w:r>
      <w:r w:rsidR="000B48D6" w:rsidRPr="003F72A2">
        <w:t xml:space="preserve"> </w:t>
      </w:r>
      <w:r w:rsidRPr="003F72A2">
        <w:t xml:space="preserve">rules (5 +/- days testing) balance science with </w:t>
      </w:r>
      <w:r w:rsidR="0026784E">
        <w:t xml:space="preserve">the </w:t>
      </w:r>
      <w:r w:rsidRPr="003F72A2">
        <w:t>very real risk of infrastructure collapse</w:t>
      </w:r>
    </w:p>
    <w:p w14:paraId="0ED85021" w14:textId="77777777" w:rsidR="00FF4376" w:rsidRPr="003F72A2" w:rsidRDefault="00FF4376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Increased antigen testing in the community. Known limitations. Unreliable</w:t>
      </w:r>
    </w:p>
    <w:p w14:paraId="1B86C248" w14:textId="77777777" w:rsidR="00FF4376" w:rsidRPr="003F72A2" w:rsidRDefault="00FF4376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CDC recommends higher quality masks in community settings as tolerated.</w:t>
      </w:r>
    </w:p>
    <w:p w14:paraId="1BD7F1CA" w14:textId="46CAF640" w:rsidR="00204AD1" w:rsidRPr="003F72A2" w:rsidRDefault="00FF4376" w:rsidP="003C52FC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CDC reports increased risks of juvenile</w:t>
      </w:r>
      <w:r w:rsidR="006066A5">
        <w:t xml:space="preserve"> diabetes mellitus</w:t>
      </w:r>
      <w:r w:rsidRPr="003F72A2">
        <w:t xml:space="preserve"> diagnosis after COVID-19</w:t>
      </w:r>
    </w:p>
    <w:p w14:paraId="46639D9C" w14:textId="6C72A4C6" w:rsidR="00204AD1" w:rsidRDefault="00204AD1" w:rsidP="00204AD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M</w:t>
      </w:r>
      <w:r w:rsidR="006066A5">
        <w:t xml:space="preserve">onoclonal </w:t>
      </w:r>
      <w:r w:rsidRPr="003F72A2">
        <w:t>A</w:t>
      </w:r>
      <w:r w:rsidR="006066A5">
        <w:t>ntibody</w:t>
      </w:r>
      <w:r w:rsidRPr="003F72A2">
        <w:t xml:space="preserve"> forms</w:t>
      </w:r>
      <w:r w:rsidR="003C52FC" w:rsidRPr="003F72A2">
        <w:t xml:space="preserve"> will be emailed </w:t>
      </w:r>
    </w:p>
    <w:p w14:paraId="76A25198" w14:textId="77777777" w:rsidR="000253FE" w:rsidRPr="003F72A2" w:rsidRDefault="000253FE" w:rsidP="000253FE">
      <w:pPr>
        <w:tabs>
          <w:tab w:val="left" w:pos="820"/>
        </w:tabs>
        <w:spacing w:before="22"/>
        <w:ind w:left="1498"/>
      </w:pPr>
    </w:p>
    <w:p w14:paraId="4C2131F3" w14:textId="77777777" w:rsidR="003F3A89" w:rsidRPr="003F72A2" w:rsidRDefault="003F3A89" w:rsidP="003F3A89">
      <w:pPr>
        <w:pStyle w:val="ListParagraph"/>
        <w:numPr>
          <w:ilvl w:val="1"/>
          <w:numId w:val="1"/>
        </w:numPr>
        <w:tabs>
          <w:tab w:val="left" w:pos="820"/>
        </w:tabs>
        <w:spacing w:before="22"/>
      </w:pPr>
      <w:r w:rsidRPr="003F72A2">
        <w:t>Dr. Man</w:t>
      </w:r>
      <w:r w:rsidR="00286FB2" w:rsidRPr="003F72A2">
        <w:t>d</w:t>
      </w:r>
      <w:r w:rsidRPr="003F72A2">
        <w:t xml:space="preserve">y Hill and Dr. Susan Wootton </w:t>
      </w:r>
      <w:r w:rsidR="00821CA2" w:rsidRPr="003F72A2">
        <w:t>(Co-Chairs)</w:t>
      </w:r>
      <w:r w:rsidRPr="003F72A2">
        <w:t xml:space="preserve">– Women Faculty Forum </w:t>
      </w:r>
      <w:r w:rsidR="00821CA2" w:rsidRPr="003F72A2">
        <w:t>(WFF)</w:t>
      </w:r>
    </w:p>
    <w:p w14:paraId="30860953" w14:textId="77777777" w:rsidR="00566E02" w:rsidRDefault="00DF5727" w:rsidP="00D27A6C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 xml:space="preserve">Mission: </w:t>
      </w:r>
      <w:r w:rsidR="00306677" w:rsidRPr="003F72A2">
        <w:t>Advocate</w:t>
      </w:r>
      <w:r w:rsidR="00566E02">
        <w:t>, create and deliver opportunities for professional development</w:t>
      </w:r>
      <w:r w:rsidR="00306677" w:rsidRPr="003F72A2">
        <w:t xml:space="preserve"> on behalf of women faculty at McGovern Medical School at UTHealth.</w:t>
      </w:r>
      <w:r w:rsidRPr="003F72A2">
        <w:t xml:space="preserve"> </w:t>
      </w:r>
    </w:p>
    <w:p w14:paraId="21208B06" w14:textId="77777777" w:rsidR="00DF5727" w:rsidRPr="003F72A2" w:rsidRDefault="00DF5727" w:rsidP="00D27A6C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 xml:space="preserve">Vision:  The vision of the WFF is to positively influence the academic experience of the Women Faculty at our institution. Through this vision, our goal is to increase </w:t>
      </w:r>
      <w:r w:rsidR="00821CA2" w:rsidRPr="003F72A2">
        <w:t xml:space="preserve">the </w:t>
      </w:r>
      <w:r w:rsidRPr="003F72A2">
        <w:t xml:space="preserve">retention of </w:t>
      </w:r>
      <w:r w:rsidR="00821CA2" w:rsidRPr="003F72A2">
        <w:t xml:space="preserve">the </w:t>
      </w:r>
      <w:r w:rsidRPr="003F72A2">
        <w:t>Women Faculty in Academic Medicine.</w:t>
      </w:r>
    </w:p>
    <w:p w14:paraId="78821ECC" w14:textId="721E5822" w:rsidR="00DF5727" w:rsidRPr="003F72A2" w:rsidRDefault="00DF5727" w:rsidP="00DF5727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 xml:space="preserve">Women and Girls in </w:t>
      </w:r>
      <w:r w:rsidR="00525DA1" w:rsidRPr="003F72A2">
        <w:t>Scien</w:t>
      </w:r>
      <w:r w:rsidR="00525DA1">
        <w:t>ce</w:t>
      </w:r>
      <w:r w:rsidR="00525DA1" w:rsidRPr="003F72A2">
        <w:t xml:space="preserve"> </w:t>
      </w:r>
      <w:r w:rsidRPr="003F72A2">
        <w:t>Symposium February 11, 2022</w:t>
      </w:r>
      <w:r w:rsidR="00525DA1">
        <w:t>,</w:t>
      </w:r>
      <w:r w:rsidRPr="003F72A2">
        <w:t xml:space="preserve"> 4:30-6pm</w:t>
      </w:r>
    </w:p>
    <w:p w14:paraId="32E46C19" w14:textId="77777777" w:rsidR="00DF5727" w:rsidRDefault="00DF5727" w:rsidP="00DF5727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Opportunities: Mentoring, Get Connected, AMWA Early &amp; Mid-Career Women Faculty Leadership Development Seminar, Stay Connected (Facebook, Instagram, Twitter)</w:t>
      </w:r>
    </w:p>
    <w:p w14:paraId="0013DBD2" w14:textId="77777777" w:rsidR="000253FE" w:rsidRPr="003F72A2" w:rsidRDefault="000253FE" w:rsidP="000253FE">
      <w:pPr>
        <w:pStyle w:val="ListParagraph"/>
        <w:tabs>
          <w:tab w:val="left" w:pos="820"/>
        </w:tabs>
        <w:spacing w:before="22"/>
        <w:ind w:left="1768" w:firstLine="0"/>
      </w:pPr>
    </w:p>
    <w:p w14:paraId="14E4A783" w14:textId="77777777" w:rsidR="00DF5727" w:rsidRPr="003F72A2" w:rsidRDefault="00CD735C" w:rsidP="00DF5727">
      <w:pPr>
        <w:pStyle w:val="ListParagraph"/>
        <w:numPr>
          <w:ilvl w:val="1"/>
          <w:numId w:val="1"/>
        </w:numPr>
        <w:tabs>
          <w:tab w:val="left" w:pos="820"/>
        </w:tabs>
        <w:spacing w:before="22"/>
      </w:pPr>
      <w:r w:rsidRPr="003F72A2">
        <w:t>Interfaculty Council update – Dr. Georgene</w:t>
      </w:r>
      <w:r w:rsidRPr="003F72A2">
        <w:rPr>
          <w:spacing w:val="-5"/>
        </w:rPr>
        <w:t xml:space="preserve"> </w:t>
      </w:r>
      <w:r w:rsidRPr="003F72A2">
        <w:t>Hergenroeder</w:t>
      </w:r>
    </w:p>
    <w:p w14:paraId="22FB041D" w14:textId="5F77DA67" w:rsidR="00D42182" w:rsidRPr="003F72A2" w:rsidRDefault="00821CA2" w:rsidP="00821CA2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UTHealth Organizational &amp; Talent Development</w:t>
      </w:r>
      <w:r w:rsidR="00525DA1">
        <w:t xml:space="preserve"> in Human Resources</w:t>
      </w:r>
    </w:p>
    <w:p w14:paraId="12D9A486" w14:textId="77777777" w:rsidR="00821CA2" w:rsidRPr="003F72A2" w:rsidRDefault="00821CA2" w:rsidP="00DC085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Leadership Institutes</w:t>
      </w:r>
    </w:p>
    <w:p w14:paraId="42895DBB" w14:textId="77777777" w:rsidR="00821CA2" w:rsidRPr="003F72A2" w:rsidRDefault="00821CA2" w:rsidP="00DC0851">
      <w:pPr>
        <w:pStyle w:val="ListParagraph"/>
        <w:numPr>
          <w:ilvl w:val="3"/>
          <w:numId w:val="1"/>
        </w:numPr>
        <w:tabs>
          <w:tab w:val="left" w:pos="820"/>
        </w:tabs>
        <w:spacing w:before="22"/>
      </w:pPr>
      <w:r w:rsidRPr="003F72A2">
        <w:t>Emerging Leaders (</w:t>
      </w:r>
      <w:r w:rsidR="00566E02">
        <w:t>F</w:t>
      </w:r>
      <w:r w:rsidRPr="003F72A2">
        <w:t>all 2022)</w:t>
      </w:r>
    </w:p>
    <w:p w14:paraId="2ADD997D" w14:textId="77777777" w:rsidR="00821CA2" w:rsidRPr="003F72A2" w:rsidRDefault="00821CA2" w:rsidP="00DC0851">
      <w:pPr>
        <w:pStyle w:val="ListParagraph"/>
        <w:numPr>
          <w:ilvl w:val="3"/>
          <w:numId w:val="1"/>
        </w:numPr>
        <w:tabs>
          <w:tab w:val="left" w:pos="820"/>
        </w:tabs>
        <w:spacing w:before="22"/>
      </w:pPr>
      <w:r w:rsidRPr="003F72A2">
        <w:t>Executive Leadership (Fall 2022)</w:t>
      </w:r>
    </w:p>
    <w:p w14:paraId="12561FFD" w14:textId="77777777" w:rsidR="00821CA2" w:rsidRPr="003F72A2" w:rsidRDefault="00821CA2" w:rsidP="00DC0851">
      <w:pPr>
        <w:pStyle w:val="ListParagraph"/>
        <w:numPr>
          <w:ilvl w:val="2"/>
          <w:numId w:val="1"/>
        </w:numPr>
        <w:tabs>
          <w:tab w:val="left" w:pos="820"/>
        </w:tabs>
        <w:spacing w:before="22"/>
      </w:pPr>
      <w:r w:rsidRPr="003F72A2">
        <w:t>Mentorship Program</w:t>
      </w:r>
      <w:r w:rsidR="00566E02">
        <w:t xml:space="preserve">, </w:t>
      </w:r>
      <w:r w:rsidRPr="003F72A2">
        <w:t>Toastmaster</w:t>
      </w:r>
      <w:r w:rsidR="00566E02">
        <w:t xml:space="preserve">, </w:t>
      </w:r>
      <w:r w:rsidRPr="003F72A2">
        <w:t>Links in Learning</w:t>
      </w:r>
      <w:r w:rsidR="00566E02">
        <w:t xml:space="preserve">, </w:t>
      </w:r>
      <w:r w:rsidRPr="003F72A2">
        <w:t>Learn to Succee</w:t>
      </w:r>
      <w:r w:rsidR="00FF4376" w:rsidRPr="003F72A2">
        <w:t>d</w:t>
      </w:r>
      <w:r w:rsidR="00566E02">
        <w:t xml:space="preserve">, </w:t>
      </w:r>
      <w:r w:rsidRPr="003F72A2">
        <w:t>Employee Engagement &amp; Onboarding – New updated orientation program</w:t>
      </w:r>
    </w:p>
    <w:p w14:paraId="1ABE4E1B" w14:textId="684F023B" w:rsidR="00D42182" w:rsidRDefault="00EE5746" w:rsidP="0026784E">
      <w:pPr>
        <w:pStyle w:val="BodyText"/>
        <w:spacing w:before="10"/>
        <w:ind w:left="1048" w:firstLine="720"/>
      </w:pPr>
      <w:hyperlink r:id="rId5" w:history="1">
        <w:r w:rsidR="0026784E" w:rsidRPr="000C75B6">
          <w:rPr>
            <w:rStyle w:val="Hyperlink"/>
          </w:rPr>
          <w:t>https://www.uth.edu/hr/resources/new-employees/newemployeehome.htm</w:t>
        </w:r>
      </w:hyperlink>
    </w:p>
    <w:p w14:paraId="44D8D919" w14:textId="77777777" w:rsidR="0026784E" w:rsidRPr="003F72A2" w:rsidRDefault="0026784E" w:rsidP="0026784E">
      <w:pPr>
        <w:pStyle w:val="BodyText"/>
        <w:spacing w:before="10"/>
        <w:ind w:left="1048" w:firstLine="720"/>
        <w:rPr>
          <w:sz w:val="22"/>
          <w:szCs w:val="22"/>
        </w:rPr>
      </w:pPr>
    </w:p>
    <w:p w14:paraId="11C72313" w14:textId="77777777" w:rsidR="00D42182" w:rsidRPr="003F72A2" w:rsidRDefault="00CD735C">
      <w:pPr>
        <w:pStyle w:val="ListParagraph"/>
        <w:numPr>
          <w:ilvl w:val="0"/>
          <w:numId w:val="1"/>
        </w:numPr>
        <w:tabs>
          <w:tab w:val="left" w:pos="460"/>
        </w:tabs>
      </w:pPr>
      <w:r w:rsidRPr="003F72A2">
        <w:t>Old</w:t>
      </w:r>
      <w:r w:rsidRPr="003F72A2">
        <w:rPr>
          <w:spacing w:val="-2"/>
        </w:rPr>
        <w:t xml:space="preserve"> </w:t>
      </w:r>
      <w:r w:rsidRPr="003F72A2">
        <w:t>Business</w:t>
      </w:r>
    </w:p>
    <w:p w14:paraId="1F994B66" w14:textId="77777777" w:rsidR="00D42182" w:rsidRPr="003F72A2" w:rsidRDefault="00CD735C" w:rsidP="00BB6AE3">
      <w:pPr>
        <w:pStyle w:val="BodyText"/>
        <w:numPr>
          <w:ilvl w:val="1"/>
          <w:numId w:val="1"/>
        </w:numPr>
        <w:spacing w:before="21"/>
        <w:rPr>
          <w:sz w:val="22"/>
          <w:szCs w:val="22"/>
        </w:rPr>
      </w:pPr>
      <w:r w:rsidRPr="003F72A2">
        <w:rPr>
          <w:sz w:val="22"/>
          <w:szCs w:val="22"/>
        </w:rPr>
        <w:t xml:space="preserve">Mental Health Support Taskforce – Dr. </w:t>
      </w:r>
      <w:r w:rsidR="003F3A89" w:rsidRPr="003F72A2">
        <w:rPr>
          <w:sz w:val="22"/>
          <w:szCs w:val="22"/>
        </w:rPr>
        <w:t>Stacy Norrell</w:t>
      </w:r>
    </w:p>
    <w:p w14:paraId="56EE4412" w14:textId="77777777" w:rsidR="00821CA2" w:rsidRPr="003F72A2" w:rsidRDefault="00821CA2" w:rsidP="00DC0851">
      <w:pPr>
        <w:pStyle w:val="BodyText"/>
        <w:numPr>
          <w:ilvl w:val="2"/>
          <w:numId w:val="1"/>
        </w:numPr>
        <w:spacing w:before="21"/>
        <w:rPr>
          <w:sz w:val="22"/>
          <w:szCs w:val="22"/>
        </w:rPr>
      </w:pPr>
      <w:r w:rsidRPr="003F72A2">
        <w:rPr>
          <w:sz w:val="22"/>
          <w:szCs w:val="22"/>
        </w:rPr>
        <w:t>Email Dr. Stacy Norrell or Dr. Nahid Rianon for more information</w:t>
      </w:r>
    </w:p>
    <w:p w14:paraId="0DB65357" w14:textId="77777777" w:rsidR="00BB6AE3" w:rsidRPr="003F72A2" w:rsidRDefault="00BB6AE3" w:rsidP="00BB6AE3">
      <w:pPr>
        <w:pStyle w:val="BodyText"/>
        <w:spacing w:before="21"/>
        <w:ind w:left="820"/>
        <w:rPr>
          <w:sz w:val="22"/>
          <w:szCs w:val="22"/>
        </w:rPr>
      </w:pPr>
    </w:p>
    <w:p w14:paraId="26A7DA31" w14:textId="77777777" w:rsidR="003C52FC" w:rsidRPr="003F72A2" w:rsidRDefault="00740C95" w:rsidP="00740C95">
      <w:pPr>
        <w:pStyle w:val="BodyText"/>
        <w:numPr>
          <w:ilvl w:val="0"/>
          <w:numId w:val="1"/>
        </w:numPr>
        <w:spacing w:before="22"/>
        <w:rPr>
          <w:sz w:val="22"/>
          <w:szCs w:val="22"/>
        </w:rPr>
      </w:pPr>
      <w:r w:rsidRPr="003F72A2">
        <w:rPr>
          <w:sz w:val="22"/>
          <w:szCs w:val="22"/>
        </w:rPr>
        <w:t xml:space="preserve">Announcement: </w:t>
      </w:r>
    </w:p>
    <w:p w14:paraId="106A5C60" w14:textId="77777777" w:rsidR="00C031C0" w:rsidRPr="00566E02" w:rsidRDefault="00740C95" w:rsidP="00566E02">
      <w:pPr>
        <w:pStyle w:val="BodyText"/>
        <w:numPr>
          <w:ilvl w:val="1"/>
          <w:numId w:val="1"/>
        </w:numPr>
        <w:spacing w:before="22"/>
        <w:rPr>
          <w:sz w:val="22"/>
          <w:szCs w:val="22"/>
        </w:rPr>
      </w:pPr>
      <w:r w:rsidRPr="003F72A2">
        <w:rPr>
          <w:sz w:val="22"/>
          <w:szCs w:val="22"/>
        </w:rPr>
        <w:t>Employee Health information</w:t>
      </w:r>
      <w:r w:rsidR="00566E02">
        <w:rPr>
          <w:sz w:val="22"/>
          <w:szCs w:val="22"/>
        </w:rPr>
        <w:t xml:space="preserve">- </w:t>
      </w:r>
      <w:r w:rsidR="00306677" w:rsidRPr="00566E02">
        <w:rPr>
          <w:sz w:val="22"/>
          <w:szCs w:val="22"/>
        </w:rPr>
        <w:t>Phone: 713-500-3267</w:t>
      </w:r>
      <w:r w:rsidR="003F72A2" w:rsidRPr="00566E02">
        <w:rPr>
          <w:sz w:val="22"/>
          <w:szCs w:val="22"/>
        </w:rPr>
        <w:t xml:space="preserve"> </w:t>
      </w:r>
      <w:r w:rsidR="00306677" w:rsidRPr="00566E02">
        <w:rPr>
          <w:sz w:val="22"/>
          <w:szCs w:val="22"/>
        </w:rPr>
        <w:t>Hotline: 713-500-2683</w:t>
      </w:r>
    </w:p>
    <w:p w14:paraId="5B6688CB" w14:textId="77777777" w:rsidR="00821CA2" w:rsidRPr="000253FE" w:rsidRDefault="00306677" w:rsidP="00566E02">
      <w:pPr>
        <w:pStyle w:val="BodyText"/>
        <w:numPr>
          <w:ilvl w:val="2"/>
          <w:numId w:val="1"/>
        </w:numPr>
        <w:spacing w:before="22"/>
        <w:rPr>
          <w:sz w:val="22"/>
          <w:szCs w:val="22"/>
        </w:rPr>
      </w:pPr>
      <w:r w:rsidRPr="003F72A2">
        <w:rPr>
          <w:sz w:val="22"/>
          <w:szCs w:val="22"/>
        </w:rPr>
        <w:t>Exposure risk assessment</w:t>
      </w:r>
      <w:r w:rsidR="00566E02">
        <w:rPr>
          <w:sz w:val="22"/>
          <w:szCs w:val="22"/>
        </w:rPr>
        <w:t xml:space="preserve"> </w:t>
      </w:r>
      <w:r w:rsidRPr="003F72A2">
        <w:rPr>
          <w:sz w:val="22"/>
          <w:szCs w:val="22"/>
        </w:rPr>
        <w:t xml:space="preserve">form:  </w:t>
      </w:r>
      <w:hyperlink r:id="rId6" w:history="1">
        <w:r w:rsidR="00566E02" w:rsidRPr="00741AED">
          <w:rPr>
            <w:rStyle w:val="Hyperlink"/>
            <w:sz w:val="22"/>
            <w:szCs w:val="22"/>
          </w:rPr>
          <w:t>https://uthtmc.az1.qualtrics.com/jfe/form/SV_eu2EXqr7U6CNqAJ</w:t>
        </w:r>
      </w:hyperlink>
    </w:p>
    <w:p w14:paraId="079ABD40" w14:textId="77777777" w:rsidR="000253FE" w:rsidRPr="00566E02" w:rsidRDefault="000253FE" w:rsidP="000253FE">
      <w:pPr>
        <w:pStyle w:val="BodyText"/>
        <w:spacing w:before="22"/>
        <w:ind w:left="1768"/>
        <w:rPr>
          <w:sz w:val="22"/>
          <w:szCs w:val="22"/>
        </w:rPr>
      </w:pPr>
    </w:p>
    <w:p w14:paraId="565AEA22" w14:textId="555630F8" w:rsidR="00FF4376" w:rsidRPr="00566E02" w:rsidRDefault="00FF4376" w:rsidP="00566E02">
      <w:pPr>
        <w:pStyle w:val="BodyText"/>
        <w:numPr>
          <w:ilvl w:val="1"/>
          <w:numId w:val="1"/>
        </w:numPr>
        <w:spacing w:before="22"/>
        <w:rPr>
          <w:sz w:val="22"/>
          <w:szCs w:val="22"/>
        </w:rPr>
      </w:pPr>
      <w:r w:rsidRPr="003F72A2">
        <w:rPr>
          <w:sz w:val="22"/>
          <w:szCs w:val="22"/>
        </w:rPr>
        <w:t>Women In Leadership Virtual Seminar Series</w:t>
      </w:r>
      <w:r w:rsidR="00566E02">
        <w:rPr>
          <w:sz w:val="22"/>
          <w:szCs w:val="22"/>
        </w:rPr>
        <w:t xml:space="preserve">: </w:t>
      </w:r>
      <w:r w:rsidRPr="00566E02">
        <w:rPr>
          <w:sz w:val="22"/>
          <w:szCs w:val="22"/>
        </w:rPr>
        <w:t>Virtual Event</w:t>
      </w:r>
      <w:r w:rsidR="003F72A2" w:rsidRPr="00566E02">
        <w:rPr>
          <w:sz w:val="22"/>
          <w:szCs w:val="22"/>
        </w:rPr>
        <w:t xml:space="preserve">: Karen Jaw-Mason, </w:t>
      </w:r>
      <w:r w:rsidRPr="00566E02">
        <w:rPr>
          <w:sz w:val="22"/>
          <w:szCs w:val="22"/>
        </w:rPr>
        <w:t>Thursday, January 27, 11:30-</w:t>
      </w:r>
      <w:r w:rsidR="003F72A2" w:rsidRPr="00566E02">
        <w:rPr>
          <w:sz w:val="22"/>
          <w:szCs w:val="22"/>
        </w:rPr>
        <w:t>12:30 pm</w:t>
      </w:r>
      <w:r w:rsidRPr="00566E02">
        <w:rPr>
          <w:sz w:val="22"/>
          <w:szCs w:val="22"/>
        </w:rPr>
        <w:t xml:space="preserve"> </w:t>
      </w:r>
      <w:hyperlink r:id="rId7" w:history="1">
        <w:r w:rsidR="00EE5746" w:rsidRPr="00F2761E">
          <w:rPr>
            <w:rStyle w:val="Hyperlink"/>
            <w:sz w:val="22"/>
            <w:szCs w:val="22"/>
          </w:rPr>
          <w:t>https://uthealth.zoom.us/meeting/registger/tJwlf-uupjMpGdY4Tv_bSrhswRE5E5EcHiMJgk</w:t>
        </w:r>
      </w:hyperlink>
      <w:r w:rsidR="00EE5746">
        <w:rPr>
          <w:sz w:val="22"/>
          <w:szCs w:val="22"/>
        </w:rPr>
        <w:t xml:space="preserve"> </w:t>
      </w:r>
    </w:p>
    <w:p w14:paraId="78D508CB" w14:textId="77777777" w:rsidR="00740C95" w:rsidRPr="003F72A2" w:rsidRDefault="00740C95" w:rsidP="00740C95">
      <w:pPr>
        <w:tabs>
          <w:tab w:val="left" w:pos="460"/>
        </w:tabs>
      </w:pPr>
    </w:p>
    <w:p w14:paraId="2C7C5031" w14:textId="576891A7" w:rsidR="00D42182" w:rsidRPr="0026784E" w:rsidRDefault="00CD735C" w:rsidP="0026784E">
      <w:pPr>
        <w:pStyle w:val="ListParagraph"/>
        <w:numPr>
          <w:ilvl w:val="0"/>
          <w:numId w:val="1"/>
        </w:numPr>
        <w:tabs>
          <w:tab w:val="left" w:pos="460"/>
        </w:tabs>
      </w:pPr>
      <w:r w:rsidRPr="003F72A2">
        <w:t>Adjournment</w:t>
      </w:r>
      <w:r w:rsidR="003C52FC" w:rsidRPr="003F72A2">
        <w:t xml:space="preserve"> </w:t>
      </w:r>
      <w:r w:rsidR="003F72A2" w:rsidRPr="003F72A2">
        <w:t>5:20 pm</w:t>
      </w:r>
    </w:p>
    <w:p w14:paraId="381D2611" w14:textId="77777777" w:rsidR="00DC0851" w:rsidRPr="003F72A2" w:rsidRDefault="00DC0851">
      <w:pPr>
        <w:pStyle w:val="BodyText"/>
        <w:spacing w:before="11"/>
        <w:rPr>
          <w:sz w:val="22"/>
          <w:szCs w:val="22"/>
        </w:rPr>
      </w:pPr>
    </w:p>
    <w:p w14:paraId="514A31D7" w14:textId="77777777" w:rsidR="00D42182" w:rsidRPr="003F72A2" w:rsidRDefault="00CD735C" w:rsidP="00DC0851">
      <w:pPr>
        <w:jc w:val="center"/>
        <w:rPr>
          <w:b/>
        </w:rPr>
      </w:pPr>
      <w:r w:rsidRPr="003F72A2">
        <w:rPr>
          <w:b/>
        </w:rPr>
        <w:t xml:space="preserve">Next meeting: Thursday, </w:t>
      </w:r>
      <w:r w:rsidR="00740C95" w:rsidRPr="003F72A2">
        <w:rPr>
          <w:b/>
        </w:rPr>
        <w:t xml:space="preserve">February 17, </w:t>
      </w:r>
      <w:r w:rsidRPr="003F72A2">
        <w:rPr>
          <w:b/>
        </w:rPr>
        <w:t>at 4:30 PM</w:t>
      </w:r>
    </w:p>
    <w:p w14:paraId="2666F2E1" w14:textId="77777777" w:rsidR="00D42182" w:rsidRPr="003F72A2" w:rsidRDefault="00D42182">
      <w:pPr>
        <w:pStyle w:val="BodyText"/>
        <w:rPr>
          <w:b/>
          <w:sz w:val="22"/>
          <w:szCs w:val="22"/>
        </w:rPr>
      </w:pPr>
    </w:p>
    <w:p w14:paraId="23E530A3" w14:textId="77777777" w:rsidR="00D42182" w:rsidRPr="003F72A2" w:rsidRDefault="00D42182">
      <w:pPr>
        <w:pStyle w:val="BodyText"/>
        <w:rPr>
          <w:b/>
          <w:sz w:val="22"/>
          <w:szCs w:val="22"/>
        </w:rPr>
      </w:pPr>
      <w:bookmarkStart w:id="0" w:name="_GoBack"/>
      <w:bookmarkEnd w:id="0"/>
    </w:p>
    <w:p w14:paraId="2A87A0E0" w14:textId="77777777" w:rsidR="00D42182" w:rsidRPr="003F72A2" w:rsidRDefault="00D42182">
      <w:pPr>
        <w:pStyle w:val="BodyText"/>
        <w:spacing w:before="1"/>
        <w:rPr>
          <w:b/>
          <w:sz w:val="22"/>
          <w:szCs w:val="22"/>
        </w:rPr>
      </w:pPr>
    </w:p>
    <w:p w14:paraId="30338C0A" w14:textId="77777777" w:rsidR="00D42182" w:rsidRPr="003F72A2" w:rsidRDefault="00CD735C">
      <w:pPr>
        <w:pStyle w:val="BodyText"/>
        <w:spacing w:before="90"/>
        <w:ind w:left="2108" w:right="1369"/>
        <w:jc w:val="center"/>
        <w:rPr>
          <w:sz w:val="22"/>
          <w:szCs w:val="22"/>
        </w:rPr>
      </w:pPr>
      <w:r w:rsidRPr="003F72A2">
        <w:rPr>
          <w:sz w:val="22"/>
          <w:szCs w:val="22"/>
        </w:rPr>
        <w:t>Dr. Nahid Rianon – Chair</w:t>
      </w:r>
    </w:p>
    <w:p w14:paraId="44902D3B" w14:textId="77777777" w:rsidR="00D42182" w:rsidRPr="003F72A2" w:rsidRDefault="00CD735C">
      <w:pPr>
        <w:pStyle w:val="BodyText"/>
        <w:ind w:left="3034" w:right="2293"/>
        <w:jc w:val="center"/>
        <w:rPr>
          <w:sz w:val="22"/>
          <w:szCs w:val="22"/>
        </w:rPr>
      </w:pPr>
      <w:r w:rsidRPr="003F72A2">
        <w:rPr>
          <w:sz w:val="22"/>
          <w:szCs w:val="22"/>
        </w:rPr>
        <w:t>Dr. Georgene Hergenroeder – Chair-Elect Dr. Renee Flores – Secretary</w:t>
      </w:r>
    </w:p>
    <w:p w14:paraId="6A2402DA" w14:textId="77777777" w:rsidR="00D42182" w:rsidRPr="003F72A2" w:rsidRDefault="00CD735C" w:rsidP="000253FE">
      <w:pPr>
        <w:pStyle w:val="BodyText"/>
        <w:ind w:left="2749" w:right="2010" w:firstLine="324"/>
        <w:rPr>
          <w:sz w:val="22"/>
          <w:szCs w:val="22"/>
        </w:rPr>
      </w:pPr>
      <w:r w:rsidRPr="003F72A2">
        <w:rPr>
          <w:sz w:val="22"/>
          <w:szCs w:val="22"/>
        </w:rPr>
        <w:t>Dr. Olasimbo Chiadika – Secretary-Elect Dr. Catherine Ambrose – 2020-2021</w:t>
      </w:r>
      <w:r w:rsidRPr="003F72A2">
        <w:rPr>
          <w:spacing w:val="-14"/>
          <w:sz w:val="22"/>
          <w:szCs w:val="22"/>
        </w:rPr>
        <w:t xml:space="preserve"> </w:t>
      </w:r>
      <w:r w:rsidRPr="003F72A2">
        <w:rPr>
          <w:sz w:val="22"/>
          <w:szCs w:val="22"/>
        </w:rPr>
        <w:t>Past-Chair</w:t>
      </w:r>
    </w:p>
    <w:p w14:paraId="028E5DE9" w14:textId="77777777" w:rsidR="00D42182" w:rsidRPr="003F72A2" w:rsidRDefault="00CD735C">
      <w:pPr>
        <w:ind w:left="3494" w:right="2427" w:hanging="309"/>
        <w:rPr>
          <w:b/>
        </w:rPr>
      </w:pPr>
      <w:r w:rsidRPr="003F72A2">
        <w:rPr>
          <w:b/>
          <w:color w:val="0563C1"/>
          <w:u w:val="single" w:color="0563C1"/>
        </w:rPr>
        <w:t>https://med.uth.edu/faculty‐senate/</w:t>
      </w:r>
      <w:r w:rsidRPr="003F72A2">
        <w:rPr>
          <w:b/>
          <w:color w:val="0563C1"/>
        </w:rPr>
        <w:t xml:space="preserve"> </w:t>
      </w:r>
      <w:hyperlink r:id="rId8">
        <w:r w:rsidRPr="003F72A2">
          <w:rPr>
            <w:b/>
            <w:color w:val="0563C1"/>
            <w:u w:val="single" w:color="0563C1"/>
          </w:rPr>
          <w:t>ms.facultysenate@uth.tmc.edu</w:t>
        </w:r>
      </w:hyperlink>
    </w:p>
    <w:sectPr w:rsidR="00D42182" w:rsidRPr="003F72A2" w:rsidSect="003F72A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0EF"/>
    <w:multiLevelType w:val="hybridMultilevel"/>
    <w:tmpl w:val="BF6E78F4"/>
    <w:lvl w:ilvl="0" w:tplc="ABDED74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463292">
      <w:start w:val="1"/>
      <w:numFmt w:val="lowerLetter"/>
      <w:lvlText w:val="%2."/>
      <w:lvlJc w:val="left"/>
      <w:pPr>
        <w:ind w:left="820" w:hanging="27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176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271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366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461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556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651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7462" w:hanging="270"/>
      </w:pPr>
      <w:rPr>
        <w:rFonts w:hint="default"/>
      </w:rPr>
    </w:lvl>
  </w:abstractNum>
  <w:abstractNum w:abstractNumId="1" w15:restartNumberingAfterBreak="0">
    <w:nsid w:val="662C6839"/>
    <w:multiLevelType w:val="hybridMultilevel"/>
    <w:tmpl w:val="5B600BD4"/>
    <w:lvl w:ilvl="0" w:tplc="01F6BC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AEB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6DD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A3D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67C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080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05E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694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46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B175C"/>
    <w:multiLevelType w:val="hybridMultilevel"/>
    <w:tmpl w:val="B6E88F5C"/>
    <w:lvl w:ilvl="0" w:tplc="495C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A6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68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49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E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44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3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07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B33D1C"/>
    <w:multiLevelType w:val="hybridMultilevel"/>
    <w:tmpl w:val="2EB68060"/>
    <w:lvl w:ilvl="0" w:tplc="666E2822">
      <w:start w:val="5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NDQxtTS0tDQzMzdR0lEKTi0uzszPAykwrgUA/++aGSwAAAA="/>
  </w:docVars>
  <w:rsids>
    <w:rsidRoot w:val="00D42182"/>
    <w:rsid w:val="000253FE"/>
    <w:rsid w:val="000B48D6"/>
    <w:rsid w:val="00163783"/>
    <w:rsid w:val="00204AD1"/>
    <w:rsid w:val="0026784E"/>
    <w:rsid w:val="00286FB2"/>
    <w:rsid w:val="002D50B2"/>
    <w:rsid w:val="00306677"/>
    <w:rsid w:val="003711E6"/>
    <w:rsid w:val="003C52FC"/>
    <w:rsid w:val="003F3A89"/>
    <w:rsid w:val="003F72A2"/>
    <w:rsid w:val="0041114D"/>
    <w:rsid w:val="00440CBC"/>
    <w:rsid w:val="00525DA1"/>
    <w:rsid w:val="00566E02"/>
    <w:rsid w:val="0057043D"/>
    <w:rsid w:val="006044D2"/>
    <w:rsid w:val="006066A5"/>
    <w:rsid w:val="00740C95"/>
    <w:rsid w:val="00821CA2"/>
    <w:rsid w:val="0085649A"/>
    <w:rsid w:val="009B7EE4"/>
    <w:rsid w:val="00AA4061"/>
    <w:rsid w:val="00BB6AE3"/>
    <w:rsid w:val="00BC268F"/>
    <w:rsid w:val="00C031C0"/>
    <w:rsid w:val="00CD735C"/>
    <w:rsid w:val="00CE5E2C"/>
    <w:rsid w:val="00D42182"/>
    <w:rsid w:val="00DA0565"/>
    <w:rsid w:val="00DC0851"/>
    <w:rsid w:val="00DF5727"/>
    <w:rsid w:val="00ED4226"/>
    <w:rsid w:val="00EE574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B2BF"/>
  <w15:docId w15:val="{2E7B6698-8B2C-433D-9E1C-BA69D1E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08" w:right="137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F572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1C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C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4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0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0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6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facultysenate@uth.tm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health.zoom.us/meeting/registger/tJwlf-uupjMpGdY4Tv_bSrhswRE5E5EcHiMJ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htmc.az1.qualtrics.com/jfe/form/SV_eu2EXqr7U6CNqAJ" TargetMode="External"/><Relationship Id="rId5" Type="http://schemas.openxmlformats.org/officeDocument/2006/relationships/hyperlink" Target="https://www.uth.edu/hr/resources/new-employees/newemployeehom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- October 2021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- October 2021</dc:title>
  <dc:creator>vguerrero3</dc:creator>
  <cp:lastModifiedBy>Guerrero, Valerie Z</cp:lastModifiedBy>
  <cp:revision>4</cp:revision>
  <dcterms:created xsi:type="dcterms:W3CDTF">2022-02-14T19:21:00Z</dcterms:created>
  <dcterms:modified xsi:type="dcterms:W3CDTF">2022-02-16T00:13:00Z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